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D6CB" w14:textId="252D295E" w:rsidR="009B6FD7" w:rsidRDefault="002D4517" w:rsidP="009B6FD7">
      <w:pPr>
        <w:spacing w:after="480"/>
      </w:pPr>
      <w:r>
        <w:rPr>
          <w:noProof/>
        </w:rPr>
        <w:drawing>
          <wp:inline distT="0" distB="0" distL="0" distR="0" wp14:anchorId="5098C8B3" wp14:editId="105854CB">
            <wp:extent cx="2442845" cy="704850"/>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2845" cy="704850"/>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5"/>
        <w:gridCol w:w="4914"/>
      </w:tblGrid>
      <w:tr w:rsidR="009B6FD7" w14:paraId="71B66420" w14:textId="77777777" w:rsidTr="00DB6D88">
        <w:trPr>
          <w:tblHeader/>
        </w:trPr>
        <w:tc>
          <w:tcPr>
            <w:tcW w:w="3456" w:type="dxa"/>
            <w:tcBorders>
              <w:bottom w:val="single" w:sz="18" w:space="0" w:color="auto"/>
            </w:tcBorders>
          </w:tcPr>
          <w:p w14:paraId="4BD626CD" w14:textId="77777777" w:rsidR="009B6FD7" w:rsidRPr="009B6FD7" w:rsidRDefault="009B6FD7" w:rsidP="009B6FD7">
            <w:pPr>
              <w:pStyle w:val="Heading1"/>
              <w:outlineLvl w:val="0"/>
            </w:pPr>
            <w:r w:rsidRPr="009B6FD7">
              <w:t>Report for:</w:t>
            </w:r>
          </w:p>
        </w:tc>
        <w:tc>
          <w:tcPr>
            <w:tcW w:w="5054" w:type="dxa"/>
            <w:tcBorders>
              <w:bottom w:val="single" w:sz="18" w:space="0" w:color="auto"/>
            </w:tcBorders>
          </w:tcPr>
          <w:p w14:paraId="719B6674" w14:textId="77777777" w:rsidR="009B6FD7" w:rsidRPr="00A160B2" w:rsidRDefault="009B6FD7" w:rsidP="00DB6D88">
            <w:pPr>
              <w:pStyle w:val="Heading1"/>
              <w:outlineLvl w:val="0"/>
              <w:rPr>
                <w:color w:val="0000FF"/>
                <w:szCs w:val="24"/>
              </w:rPr>
            </w:pPr>
            <w:r>
              <w:t xml:space="preserve">Health and Wellbeing Board  </w:t>
            </w:r>
          </w:p>
        </w:tc>
      </w:tr>
      <w:tr w:rsidR="009B6FD7" w14:paraId="0A599729" w14:textId="77777777" w:rsidTr="00DB6D88">
        <w:tc>
          <w:tcPr>
            <w:tcW w:w="3456" w:type="dxa"/>
            <w:tcBorders>
              <w:top w:val="single" w:sz="18" w:space="0" w:color="auto"/>
            </w:tcBorders>
          </w:tcPr>
          <w:p w14:paraId="7D2C26B8" w14:textId="77777777" w:rsidR="009B6FD7" w:rsidRPr="00F92398" w:rsidRDefault="009B6FD7" w:rsidP="00DB6D8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21D64DDE" w14:textId="77777777" w:rsidR="009B6FD7" w:rsidRPr="00F92398" w:rsidRDefault="009B6FD7" w:rsidP="00DB6D88">
            <w:pPr>
              <w:pStyle w:val="Infotext"/>
              <w:rPr>
                <w:rFonts w:ascii="Arial Black" w:hAnsi="Arial Black" w:cs="Arial"/>
              </w:rPr>
            </w:pPr>
          </w:p>
        </w:tc>
        <w:tc>
          <w:tcPr>
            <w:tcW w:w="5054" w:type="dxa"/>
            <w:tcBorders>
              <w:top w:val="single" w:sz="18" w:space="0" w:color="auto"/>
            </w:tcBorders>
          </w:tcPr>
          <w:p w14:paraId="3575FC37" w14:textId="5FD80444" w:rsidR="009B6FD7" w:rsidRDefault="00B0319E" w:rsidP="00DB6D88">
            <w:pPr>
              <w:pStyle w:val="Infotext"/>
              <w:rPr>
                <w:rFonts w:cs="Arial"/>
              </w:rPr>
            </w:pPr>
            <w:r>
              <w:rPr>
                <w:rFonts w:cs="Arial"/>
              </w:rPr>
              <w:t>22</w:t>
            </w:r>
            <w:r w:rsidRPr="00B0319E">
              <w:rPr>
                <w:rFonts w:cs="Arial"/>
                <w:vertAlign w:val="superscript"/>
              </w:rPr>
              <w:t>nd</w:t>
            </w:r>
            <w:r>
              <w:rPr>
                <w:rFonts w:cs="Arial"/>
              </w:rPr>
              <w:t xml:space="preserve"> June </w:t>
            </w:r>
            <w:r w:rsidR="005649B4">
              <w:rPr>
                <w:rFonts w:cs="Arial"/>
              </w:rPr>
              <w:t xml:space="preserve">2023 </w:t>
            </w:r>
            <w:r w:rsidR="00A47BAE">
              <w:rPr>
                <w:rFonts w:cs="Arial"/>
              </w:rPr>
              <w:t xml:space="preserve"> </w:t>
            </w:r>
          </w:p>
        </w:tc>
      </w:tr>
      <w:tr w:rsidR="009B6FD7" w14:paraId="577E5DC8" w14:textId="77777777" w:rsidTr="00DB6D88">
        <w:tc>
          <w:tcPr>
            <w:tcW w:w="3456" w:type="dxa"/>
          </w:tcPr>
          <w:p w14:paraId="2A08B6D2" w14:textId="77777777" w:rsidR="009B6FD7" w:rsidRPr="00F92398" w:rsidRDefault="009B6FD7" w:rsidP="00DB6D88">
            <w:pPr>
              <w:pStyle w:val="Infotext"/>
              <w:rPr>
                <w:rFonts w:ascii="Arial Black" w:hAnsi="Arial Black" w:cs="Arial"/>
              </w:rPr>
            </w:pPr>
            <w:r w:rsidRPr="00F92398">
              <w:rPr>
                <w:rFonts w:ascii="Arial Black" w:hAnsi="Arial Black" w:cs="Arial"/>
              </w:rPr>
              <w:t>Subject:</w:t>
            </w:r>
          </w:p>
          <w:p w14:paraId="2B5A4F3C" w14:textId="77777777" w:rsidR="009B6FD7" w:rsidRPr="00F92398" w:rsidRDefault="009B6FD7" w:rsidP="00DB6D88">
            <w:pPr>
              <w:pStyle w:val="Infotext"/>
              <w:rPr>
                <w:rFonts w:ascii="Arial Black" w:hAnsi="Arial Black"/>
              </w:rPr>
            </w:pPr>
          </w:p>
        </w:tc>
        <w:tc>
          <w:tcPr>
            <w:tcW w:w="5054" w:type="dxa"/>
          </w:tcPr>
          <w:p w14:paraId="429E8C6F" w14:textId="475CE9B9" w:rsidR="009B6FD7" w:rsidRDefault="007B3DA1" w:rsidP="00DB6D88">
            <w:pPr>
              <w:pStyle w:val="Infotext"/>
              <w:rPr>
                <w:rFonts w:cs="Arial"/>
              </w:rPr>
            </w:pPr>
            <w:r>
              <w:rPr>
                <w:rFonts w:cs="Arial"/>
              </w:rPr>
              <w:t xml:space="preserve">Health and Wellbeing Strategy </w:t>
            </w:r>
            <w:r w:rsidR="005649B4">
              <w:rPr>
                <w:rFonts w:cs="Arial"/>
              </w:rPr>
              <w:t xml:space="preserve">– Healthy </w:t>
            </w:r>
            <w:r w:rsidR="00B0319E">
              <w:rPr>
                <w:rFonts w:cs="Arial"/>
              </w:rPr>
              <w:t xml:space="preserve">Policy &amp; Practice </w:t>
            </w:r>
            <w:r w:rsidR="005649B4">
              <w:rPr>
                <w:rFonts w:cs="Arial"/>
              </w:rPr>
              <w:t xml:space="preserve"> </w:t>
            </w:r>
          </w:p>
        </w:tc>
      </w:tr>
      <w:tr w:rsidR="009B6FD7" w14:paraId="729405DE" w14:textId="77777777" w:rsidTr="00DB6D88">
        <w:tc>
          <w:tcPr>
            <w:tcW w:w="3456" w:type="dxa"/>
          </w:tcPr>
          <w:p w14:paraId="25E0AB3B" w14:textId="77777777" w:rsidR="009B6FD7" w:rsidRPr="00F92398" w:rsidRDefault="009B6FD7" w:rsidP="00DB6D88">
            <w:pPr>
              <w:pStyle w:val="Infotext"/>
              <w:rPr>
                <w:rFonts w:ascii="Arial Black" w:hAnsi="Arial Black" w:cs="Arial"/>
              </w:rPr>
            </w:pPr>
            <w:r w:rsidRPr="00F92398">
              <w:rPr>
                <w:rFonts w:ascii="Arial Black" w:hAnsi="Arial Black" w:cs="Arial"/>
              </w:rPr>
              <w:t>Responsible Officer:</w:t>
            </w:r>
          </w:p>
          <w:p w14:paraId="3715CDA7" w14:textId="77777777" w:rsidR="009B6FD7" w:rsidRPr="00F92398" w:rsidRDefault="009B6FD7" w:rsidP="00DB6D88">
            <w:pPr>
              <w:pStyle w:val="Infotext"/>
              <w:rPr>
                <w:rFonts w:ascii="Arial Black" w:hAnsi="Arial Black" w:cs="Arial"/>
              </w:rPr>
            </w:pPr>
          </w:p>
        </w:tc>
        <w:tc>
          <w:tcPr>
            <w:tcW w:w="5054" w:type="dxa"/>
          </w:tcPr>
          <w:p w14:paraId="5A7F43A0" w14:textId="1F1857F6" w:rsidR="009B6FD7" w:rsidRDefault="00222F23" w:rsidP="00DB6D88">
            <w:pPr>
              <w:pStyle w:val="Infotext"/>
              <w:rPr>
                <w:rFonts w:cs="Arial"/>
              </w:rPr>
            </w:pPr>
            <w:r>
              <w:rPr>
                <w:rFonts w:cs="Arial"/>
              </w:rPr>
              <w:t>Carole Furlong</w:t>
            </w:r>
            <w:r w:rsidR="00F646AB">
              <w:rPr>
                <w:rFonts w:cs="Arial"/>
              </w:rPr>
              <w:t>,</w:t>
            </w:r>
            <w:r>
              <w:rPr>
                <w:rFonts w:cs="Arial"/>
              </w:rPr>
              <w:t xml:space="preserve"> Director of Public Health</w:t>
            </w:r>
          </w:p>
          <w:p w14:paraId="5F5247A9" w14:textId="77777777" w:rsidR="009B6FD7" w:rsidRDefault="009B6FD7" w:rsidP="00DB6D88">
            <w:pPr>
              <w:pStyle w:val="Infotext"/>
              <w:rPr>
                <w:rFonts w:cs="Arial"/>
              </w:rPr>
            </w:pPr>
          </w:p>
        </w:tc>
      </w:tr>
      <w:tr w:rsidR="009B6FD7" w14:paraId="0820659A" w14:textId="77777777" w:rsidTr="00DB6D88">
        <w:tc>
          <w:tcPr>
            <w:tcW w:w="3456" w:type="dxa"/>
          </w:tcPr>
          <w:p w14:paraId="33B20FEF" w14:textId="77777777" w:rsidR="009B6FD7" w:rsidRPr="00F92398" w:rsidRDefault="009B6FD7" w:rsidP="009B6FD7">
            <w:pPr>
              <w:pStyle w:val="Infotext"/>
              <w:rPr>
                <w:rFonts w:ascii="Arial Black" w:hAnsi="Arial Black" w:cs="Arial"/>
              </w:rPr>
            </w:pPr>
            <w:r>
              <w:rPr>
                <w:rFonts w:ascii="Arial Black" w:hAnsi="Arial Black" w:cs="Arial"/>
              </w:rPr>
              <w:t>Public</w:t>
            </w:r>
            <w:r w:rsidRPr="00F92398">
              <w:rPr>
                <w:rFonts w:ascii="Arial Black" w:hAnsi="Arial Black" w:cs="Arial"/>
              </w:rPr>
              <w:t>:</w:t>
            </w:r>
          </w:p>
          <w:p w14:paraId="511A0815" w14:textId="77777777" w:rsidR="009B6FD7" w:rsidRPr="00F92398" w:rsidRDefault="009B6FD7" w:rsidP="00DB6D88">
            <w:pPr>
              <w:pStyle w:val="Infotext"/>
              <w:rPr>
                <w:rFonts w:ascii="Arial Black" w:hAnsi="Arial Black" w:cs="Arial"/>
              </w:rPr>
            </w:pPr>
          </w:p>
        </w:tc>
        <w:tc>
          <w:tcPr>
            <w:tcW w:w="5054" w:type="dxa"/>
          </w:tcPr>
          <w:p w14:paraId="6EB4F9AC" w14:textId="7B92D4B8" w:rsidR="007219C8" w:rsidRDefault="009B6FD7" w:rsidP="007219C8">
            <w:pPr>
              <w:pStyle w:val="Infotext"/>
              <w:rPr>
                <w:rFonts w:cs="Arial"/>
              </w:rPr>
            </w:pPr>
            <w:r>
              <w:rPr>
                <w:rFonts w:cs="Arial"/>
              </w:rPr>
              <w:t xml:space="preserve">Yes </w:t>
            </w:r>
          </w:p>
          <w:p w14:paraId="2FDB38D7" w14:textId="65C4A4E7" w:rsidR="009B6FD7" w:rsidRDefault="009B6FD7" w:rsidP="009B6FD7">
            <w:pPr>
              <w:pStyle w:val="Infotext"/>
              <w:rPr>
                <w:rFonts w:cs="Arial"/>
              </w:rPr>
            </w:pPr>
          </w:p>
        </w:tc>
      </w:tr>
      <w:tr w:rsidR="009B6FD7" w14:paraId="3E825936" w14:textId="77777777" w:rsidTr="00DB6D88">
        <w:tc>
          <w:tcPr>
            <w:tcW w:w="3456" w:type="dxa"/>
          </w:tcPr>
          <w:p w14:paraId="5DE68216" w14:textId="77777777" w:rsidR="009B6FD7" w:rsidRDefault="009B6FD7" w:rsidP="00DB6D88">
            <w:pPr>
              <w:pStyle w:val="Infotext"/>
              <w:rPr>
                <w:rFonts w:ascii="Arial Black" w:hAnsi="Arial Black" w:cs="Arial"/>
              </w:rPr>
            </w:pPr>
            <w:r>
              <w:rPr>
                <w:rFonts w:ascii="Arial Black" w:hAnsi="Arial Black" w:cs="Arial"/>
              </w:rPr>
              <w:t>Wards affected:</w:t>
            </w:r>
          </w:p>
          <w:p w14:paraId="6F196838" w14:textId="77777777" w:rsidR="009B6FD7" w:rsidRPr="00F92398" w:rsidRDefault="009B6FD7" w:rsidP="00DB6D88">
            <w:pPr>
              <w:pStyle w:val="Infotext"/>
              <w:rPr>
                <w:rFonts w:ascii="Arial Black" w:hAnsi="Arial Black" w:cs="Arial"/>
              </w:rPr>
            </w:pPr>
          </w:p>
        </w:tc>
        <w:tc>
          <w:tcPr>
            <w:tcW w:w="5054" w:type="dxa"/>
          </w:tcPr>
          <w:p w14:paraId="343A6004" w14:textId="49107C37" w:rsidR="009B6FD7" w:rsidRDefault="00222F23" w:rsidP="00DB6D88">
            <w:pPr>
              <w:pStyle w:val="Infotext"/>
            </w:pPr>
            <w:r w:rsidRPr="00222F23">
              <w:rPr>
                <w:rFonts w:cs="Arial"/>
                <w:b/>
                <w:szCs w:val="24"/>
              </w:rPr>
              <w:t>All wards</w:t>
            </w:r>
          </w:p>
        </w:tc>
      </w:tr>
      <w:tr w:rsidR="009B6FD7" w14:paraId="2F9866C6" w14:textId="77777777" w:rsidTr="00DB6D88">
        <w:tc>
          <w:tcPr>
            <w:tcW w:w="3456" w:type="dxa"/>
          </w:tcPr>
          <w:p w14:paraId="4555FF1F" w14:textId="77777777" w:rsidR="009B6FD7" w:rsidRPr="00F92398" w:rsidRDefault="009B6FD7" w:rsidP="00DB6D88">
            <w:pPr>
              <w:pStyle w:val="Infotext"/>
              <w:rPr>
                <w:rFonts w:ascii="Arial Black" w:hAnsi="Arial Black" w:cs="Arial"/>
              </w:rPr>
            </w:pPr>
            <w:r w:rsidRPr="00F92398">
              <w:rPr>
                <w:rFonts w:ascii="Arial Black" w:hAnsi="Arial Black" w:cs="Arial"/>
              </w:rPr>
              <w:t>Enclosures:</w:t>
            </w:r>
          </w:p>
          <w:p w14:paraId="0F293416" w14:textId="77777777" w:rsidR="009B6FD7" w:rsidRPr="00F92398" w:rsidRDefault="009B6FD7" w:rsidP="00DB6D88">
            <w:pPr>
              <w:pStyle w:val="Infotext"/>
              <w:rPr>
                <w:rFonts w:ascii="Arial Black" w:hAnsi="Arial Black" w:cs="Arial"/>
              </w:rPr>
            </w:pPr>
          </w:p>
        </w:tc>
        <w:tc>
          <w:tcPr>
            <w:tcW w:w="5054" w:type="dxa"/>
          </w:tcPr>
          <w:p w14:paraId="74E5BD19" w14:textId="77AD3BA5" w:rsidR="00BE5C84" w:rsidRDefault="00BE5C84" w:rsidP="00F646AB">
            <w:pPr>
              <w:pStyle w:val="Infotext"/>
            </w:pPr>
            <w:r w:rsidRPr="00BE5C84">
              <w:t>Harrow Health and Wellbeing Strategy</w:t>
            </w:r>
          </w:p>
          <w:p w14:paraId="70B6CB0B" w14:textId="348A62C6" w:rsidR="004305E3" w:rsidRDefault="004305E3" w:rsidP="00311543">
            <w:pPr>
              <w:pStyle w:val="Infotext"/>
              <w:ind w:left="360"/>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1976BF" w14:paraId="6582A1DA" w14:textId="77777777" w:rsidTr="00D73B21">
        <w:trPr>
          <w:tblHeader/>
        </w:trPr>
        <w:tc>
          <w:tcPr>
            <w:tcW w:w="8309" w:type="dxa"/>
            <w:tcBorders>
              <w:top w:val="nil"/>
              <w:left w:val="nil"/>
              <w:bottom w:val="single" w:sz="4" w:space="0" w:color="auto"/>
              <w:right w:val="nil"/>
            </w:tcBorders>
          </w:tcPr>
          <w:p w14:paraId="4306589F" w14:textId="77777777" w:rsidR="001976BF" w:rsidRDefault="001976BF" w:rsidP="00DB6D88">
            <w:pPr>
              <w:pStyle w:val="Heading2"/>
              <w:spacing w:before="240"/>
            </w:pPr>
            <w:r>
              <w:t>Section 1 – Summary and Recommendations</w:t>
            </w:r>
          </w:p>
        </w:tc>
      </w:tr>
      <w:tr w:rsidR="001976BF" w14:paraId="7319AC6E" w14:textId="77777777" w:rsidTr="00D73B21">
        <w:trPr>
          <w:tblHeader/>
        </w:trPr>
        <w:tc>
          <w:tcPr>
            <w:tcW w:w="8309" w:type="dxa"/>
            <w:tcBorders>
              <w:left w:val="nil"/>
              <w:bottom w:val="nil"/>
              <w:right w:val="nil"/>
            </w:tcBorders>
          </w:tcPr>
          <w:p w14:paraId="5F881D15" w14:textId="4991D312" w:rsidR="001976BF" w:rsidRDefault="001976BF" w:rsidP="00DB6D88"/>
          <w:p w14:paraId="7A5B2B5C" w14:textId="2CEBC238" w:rsidR="00874169" w:rsidRDefault="00874169" w:rsidP="00DB6D88">
            <w:r>
              <w:t xml:space="preserve">The ‘Healthy Policy &amp; Practice’ domain within the strategy has three key areas of focus: </w:t>
            </w:r>
          </w:p>
          <w:p w14:paraId="6B869C89" w14:textId="2809A1A4" w:rsidR="00874169" w:rsidRDefault="00874169" w:rsidP="00874169">
            <w:pPr>
              <w:pStyle w:val="ListParagraph"/>
              <w:numPr>
                <w:ilvl w:val="0"/>
                <w:numId w:val="40"/>
              </w:numPr>
            </w:pPr>
            <w:r>
              <w:t xml:space="preserve">Making every contact count everyone’s business </w:t>
            </w:r>
          </w:p>
          <w:p w14:paraId="148AE759" w14:textId="1C3C4649" w:rsidR="00874169" w:rsidRDefault="00874169" w:rsidP="00874169">
            <w:pPr>
              <w:pStyle w:val="ListParagraph"/>
              <w:numPr>
                <w:ilvl w:val="0"/>
                <w:numId w:val="40"/>
              </w:numPr>
            </w:pPr>
            <w:r w:rsidRPr="00874169">
              <w:t>Community involvement and engagement</w:t>
            </w:r>
          </w:p>
          <w:p w14:paraId="56ECE68D" w14:textId="077A0EAF" w:rsidR="00874169" w:rsidRDefault="00874169" w:rsidP="00874169">
            <w:pPr>
              <w:pStyle w:val="ListParagraph"/>
              <w:numPr>
                <w:ilvl w:val="0"/>
                <w:numId w:val="40"/>
              </w:numPr>
            </w:pPr>
            <w:r w:rsidRPr="00874169">
              <w:t>Creating and embedding Health in All Policies</w:t>
            </w:r>
          </w:p>
          <w:p w14:paraId="42EACBCD" w14:textId="77777777" w:rsidR="00874169" w:rsidRDefault="00874169" w:rsidP="00874169"/>
          <w:p w14:paraId="00D21AE9" w14:textId="5E5EABD3" w:rsidR="00EB333C" w:rsidRPr="00EB333C" w:rsidRDefault="00661686" w:rsidP="00874169">
            <w:r w:rsidRPr="00661686">
              <w:t>To support developing a partnership and system-wide delivery plan</w:t>
            </w:r>
            <w:r w:rsidR="00E3729A">
              <w:t>, t</w:t>
            </w:r>
            <w:r w:rsidR="00874169">
              <w:t xml:space="preserve">he </w:t>
            </w:r>
            <w:r w:rsidR="00EB333C" w:rsidRPr="00EB333C">
              <w:t xml:space="preserve">Health and </w:t>
            </w:r>
            <w:r w:rsidR="00874169">
              <w:t>W</w:t>
            </w:r>
            <w:r w:rsidR="00EB333C" w:rsidRPr="00EB333C">
              <w:t xml:space="preserve">ellbeing </w:t>
            </w:r>
            <w:r w:rsidR="00874169">
              <w:t>B</w:t>
            </w:r>
            <w:r w:rsidR="00EB333C" w:rsidRPr="00EB333C">
              <w:t>oard</w:t>
            </w:r>
            <w:r w:rsidR="00874169">
              <w:t xml:space="preserve"> is asked</w:t>
            </w:r>
            <w:r w:rsidR="00EB333C" w:rsidRPr="00EB333C">
              <w:t xml:space="preserve"> to consider the following for each of the </w:t>
            </w:r>
            <w:r w:rsidR="00874169">
              <w:t xml:space="preserve">‘Healthy Policy &amp; Practice’ </w:t>
            </w:r>
            <w:r w:rsidR="00EB333C" w:rsidRPr="00EB333C">
              <w:t>work programme areas:</w:t>
            </w:r>
          </w:p>
          <w:p w14:paraId="175F14B2" w14:textId="77777777" w:rsidR="00EB333C" w:rsidRPr="00EB333C" w:rsidRDefault="00EB333C" w:rsidP="00EB333C">
            <w:pPr>
              <w:numPr>
                <w:ilvl w:val="1"/>
                <w:numId w:val="39"/>
              </w:numPr>
            </w:pPr>
            <w:r w:rsidRPr="00EB333C">
              <w:t>What are the strengths and opportunities for the work programme?</w:t>
            </w:r>
          </w:p>
          <w:p w14:paraId="35A99F0C" w14:textId="77777777" w:rsidR="00EB333C" w:rsidRPr="00EB333C" w:rsidRDefault="00EB333C" w:rsidP="00EB333C">
            <w:pPr>
              <w:numPr>
                <w:ilvl w:val="1"/>
                <w:numId w:val="39"/>
              </w:numPr>
            </w:pPr>
            <w:r w:rsidRPr="00EB333C">
              <w:t xml:space="preserve">What are the challenges, threats and risks for the work programme? </w:t>
            </w:r>
          </w:p>
          <w:p w14:paraId="47475F0C" w14:textId="77777777" w:rsidR="00EB333C" w:rsidRPr="00EB333C" w:rsidRDefault="00EB333C" w:rsidP="00EB333C">
            <w:pPr>
              <w:numPr>
                <w:ilvl w:val="1"/>
                <w:numId w:val="39"/>
              </w:numPr>
            </w:pPr>
            <w:r w:rsidRPr="00EB333C">
              <w:t xml:space="preserve">What will partners commit to delivering?  </w:t>
            </w:r>
          </w:p>
          <w:p w14:paraId="18161CB0" w14:textId="3BE76B91" w:rsidR="00EB333C" w:rsidRPr="00EB333C" w:rsidRDefault="00EB333C" w:rsidP="00EB333C">
            <w:pPr>
              <w:numPr>
                <w:ilvl w:val="1"/>
                <w:numId w:val="39"/>
              </w:numPr>
            </w:pPr>
            <w:r w:rsidRPr="00EB333C">
              <w:t>How will success</w:t>
            </w:r>
            <w:r w:rsidR="002A0BD9">
              <w:t xml:space="preserve"> be</w:t>
            </w:r>
            <w:r w:rsidRPr="00EB333C">
              <w:t xml:space="preserve"> measured?</w:t>
            </w:r>
          </w:p>
          <w:p w14:paraId="3E74C2BD" w14:textId="77777777" w:rsidR="00EB333C" w:rsidRDefault="00EB333C" w:rsidP="00DB6D88"/>
          <w:p w14:paraId="03D09642" w14:textId="77777777" w:rsidR="001976BF" w:rsidRDefault="001976BF" w:rsidP="00DB6D88">
            <w:pPr>
              <w:rPr>
                <w:rFonts w:ascii="Arial Bold" w:hAnsi="Arial Bold"/>
                <w:b/>
                <w:sz w:val="28"/>
              </w:rPr>
            </w:pPr>
          </w:p>
          <w:p w14:paraId="2781F93D" w14:textId="77777777" w:rsidR="00923DAF" w:rsidRDefault="00923DAF" w:rsidP="00E3729A">
            <w:pPr>
              <w:pStyle w:val="ListParagraph"/>
            </w:pPr>
          </w:p>
          <w:p w14:paraId="4D9F4B54" w14:textId="70F2A3C7" w:rsidR="00E3729A" w:rsidRDefault="00E3729A" w:rsidP="00E3729A"/>
        </w:tc>
      </w:tr>
    </w:tbl>
    <w:p w14:paraId="7483E9E9" w14:textId="03B17913" w:rsidR="00311543" w:rsidRDefault="00311543" w:rsidP="00311543"/>
    <w:p w14:paraId="4A7E70E5" w14:textId="77777777" w:rsidR="00311543" w:rsidRPr="00311543" w:rsidRDefault="00311543" w:rsidP="00311543"/>
    <w:p w14:paraId="13D7CD18" w14:textId="6E955DC5" w:rsidR="00C83D7A" w:rsidRDefault="00DB59A7" w:rsidP="009B6FD7">
      <w:pPr>
        <w:pStyle w:val="Heading2"/>
      </w:pPr>
      <w:r>
        <w:t>Section 2</w:t>
      </w:r>
    </w:p>
    <w:p w14:paraId="3D352856" w14:textId="022BB8CF" w:rsidR="00C90B7D" w:rsidRPr="00C90B7D" w:rsidRDefault="00C90B7D" w:rsidP="00222F23">
      <w:pPr>
        <w:spacing w:before="240"/>
        <w:rPr>
          <w:rFonts w:cs="Arial"/>
          <w:b/>
          <w:szCs w:val="18"/>
        </w:rPr>
      </w:pPr>
      <w:r w:rsidRPr="00C90B7D">
        <w:rPr>
          <w:rFonts w:cs="Arial"/>
          <w:b/>
          <w:szCs w:val="18"/>
        </w:rPr>
        <w:t>Background</w:t>
      </w:r>
    </w:p>
    <w:p w14:paraId="5363FF8E" w14:textId="50E4C6FC" w:rsidR="000A65E3" w:rsidRDefault="000A65E3" w:rsidP="000A65E3">
      <w:pPr>
        <w:spacing w:before="240"/>
        <w:rPr>
          <w:rFonts w:cs="Arial"/>
          <w:bCs/>
          <w:szCs w:val="18"/>
        </w:rPr>
      </w:pPr>
      <w:r>
        <w:rPr>
          <w:rFonts w:cs="Arial"/>
          <w:bCs/>
          <w:szCs w:val="18"/>
        </w:rPr>
        <w:t xml:space="preserve">Harrow’s Health and Wellbeing Strategy was endorsed at the Health and Wellbeing Board in November 2022. </w:t>
      </w:r>
      <w:r w:rsidR="00631BE4">
        <w:rPr>
          <w:rFonts w:cs="Arial"/>
          <w:bCs/>
          <w:szCs w:val="18"/>
        </w:rPr>
        <w:t xml:space="preserve">The strategy set out plans to report on </w:t>
      </w:r>
      <w:r w:rsidR="005677DC">
        <w:rPr>
          <w:rFonts w:cs="Arial"/>
          <w:bCs/>
          <w:szCs w:val="18"/>
        </w:rPr>
        <w:t>each of the domains</w:t>
      </w:r>
      <w:r w:rsidR="00AD7DC9">
        <w:rPr>
          <w:rFonts w:cs="Arial"/>
          <w:bCs/>
          <w:szCs w:val="18"/>
        </w:rPr>
        <w:t>,</w:t>
      </w:r>
      <w:r w:rsidR="005677DC">
        <w:rPr>
          <w:rFonts w:cs="Arial"/>
          <w:bCs/>
          <w:szCs w:val="18"/>
        </w:rPr>
        <w:t xml:space="preserve"> Healthy People, Healthy Policy &amp; Practice and Healthy Place</w:t>
      </w:r>
      <w:r w:rsidR="0092323A">
        <w:rPr>
          <w:rFonts w:cs="Arial"/>
          <w:bCs/>
          <w:szCs w:val="18"/>
        </w:rPr>
        <w:t xml:space="preserve">, </w:t>
      </w:r>
      <w:r w:rsidR="00516C7C">
        <w:rPr>
          <w:rFonts w:cs="Arial"/>
          <w:bCs/>
          <w:szCs w:val="18"/>
        </w:rPr>
        <w:t xml:space="preserve">once a year. </w:t>
      </w:r>
    </w:p>
    <w:p w14:paraId="73B291D4" w14:textId="37CB3DF9" w:rsidR="007A4157" w:rsidRDefault="007A4157" w:rsidP="000A65E3">
      <w:pPr>
        <w:spacing w:before="240"/>
        <w:rPr>
          <w:rFonts w:cs="Arial"/>
          <w:bCs/>
          <w:szCs w:val="18"/>
        </w:rPr>
      </w:pPr>
    </w:p>
    <w:p w14:paraId="2589DA5A" w14:textId="1A13C095" w:rsidR="00311543" w:rsidRDefault="00EB333C" w:rsidP="000A65E3">
      <w:pPr>
        <w:spacing w:before="240"/>
        <w:rPr>
          <w:rFonts w:cs="Arial"/>
          <w:bCs/>
          <w:szCs w:val="18"/>
        </w:rPr>
      </w:pPr>
      <w:r w:rsidRPr="00EB333C">
        <w:rPr>
          <w:rFonts w:cs="Arial"/>
          <w:bCs/>
          <w:noProof/>
          <w:szCs w:val="18"/>
        </w:rPr>
        <w:drawing>
          <wp:inline distT="0" distB="0" distL="0" distR="0" wp14:anchorId="5B0102EC" wp14:editId="7B956ACF">
            <wp:extent cx="5276215" cy="5584825"/>
            <wp:effectExtent l="0" t="0" r="635" b="0"/>
            <wp:docPr id="28" name="Picture 27">
              <a:extLst xmlns:a="http://schemas.openxmlformats.org/drawingml/2006/main">
                <a:ext uri="{FF2B5EF4-FFF2-40B4-BE49-F238E27FC236}">
                  <a16:creationId xmlns:a16="http://schemas.microsoft.com/office/drawing/2014/main" id="{AEE8AFF7-4188-3E8E-6264-3790EA701C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AEE8AFF7-4188-3E8E-6264-3790EA701C22}"/>
                        </a:ext>
                      </a:extLst>
                    </pic:cNvPr>
                    <pic:cNvPicPr>
                      <a:picLocks noChangeAspect="1"/>
                    </pic:cNvPicPr>
                  </pic:nvPicPr>
                  <pic:blipFill>
                    <a:blip r:embed="rId12"/>
                    <a:stretch>
                      <a:fillRect/>
                    </a:stretch>
                  </pic:blipFill>
                  <pic:spPr>
                    <a:xfrm>
                      <a:off x="0" y="0"/>
                      <a:ext cx="5276215" cy="5584825"/>
                    </a:xfrm>
                    <a:prstGeom prst="rect">
                      <a:avLst/>
                    </a:prstGeom>
                    <a:noFill/>
                  </pic:spPr>
                </pic:pic>
              </a:graphicData>
            </a:graphic>
          </wp:inline>
        </w:drawing>
      </w:r>
      <w:r w:rsidR="00D86C4D">
        <w:rPr>
          <w:rFonts w:cs="Arial"/>
          <w:bCs/>
          <w:szCs w:val="18"/>
        </w:rPr>
        <w:t>T</w:t>
      </w:r>
      <w:r w:rsidR="00273F23">
        <w:rPr>
          <w:rFonts w:cs="Arial"/>
          <w:bCs/>
          <w:szCs w:val="18"/>
        </w:rPr>
        <w:t>his quarter</w:t>
      </w:r>
      <w:r w:rsidR="00311543">
        <w:rPr>
          <w:rFonts w:cs="Arial"/>
          <w:bCs/>
          <w:szCs w:val="18"/>
        </w:rPr>
        <w:t>,</w:t>
      </w:r>
      <w:r w:rsidR="00D86C4D">
        <w:rPr>
          <w:rFonts w:cs="Arial"/>
          <w:bCs/>
          <w:szCs w:val="18"/>
        </w:rPr>
        <w:t xml:space="preserve"> </w:t>
      </w:r>
      <w:r w:rsidR="00273F23">
        <w:rPr>
          <w:rFonts w:cs="Arial"/>
          <w:bCs/>
          <w:szCs w:val="18"/>
        </w:rPr>
        <w:t>t</w:t>
      </w:r>
      <w:r w:rsidR="00FA0707">
        <w:rPr>
          <w:rFonts w:cs="Arial"/>
          <w:bCs/>
          <w:szCs w:val="18"/>
        </w:rPr>
        <w:t xml:space="preserve">he board is </w:t>
      </w:r>
      <w:r w:rsidR="00D86C4D">
        <w:rPr>
          <w:rFonts w:cs="Arial"/>
          <w:bCs/>
          <w:szCs w:val="18"/>
        </w:rPr>
        <w:t>asked to consider the</w:t>
      </w:r>
      <w:r w:rsidR="00D86C4D" w:rsidRPr="00D86C4D">
        <w:rPr>
          <w:rFonts w:cs="Arial"/>
          <w:bCs/>
          <w:szCs w:val="18"/>
        </w:rPr>
        <w:t xml:space="preserve"> ‘Healthy Policy &amp; Practice’ domain</w:t>
      </w:r>
      <w:r w:rsidR="00D86C4D">
        <w:rPr>
          <w:rFonts w:cs="Arial"/>
          <w:bCs/>
          <w:szCs w:val="18"/>
        </w:rPr>
        <w:t>. In particular, focussing on the three key work programme areas of the domain</w:t>
      </w:r>
      <w:r w:rsidR="00311543">
        <w:rPr>
          <w:rFonts w:cs="Arial"/>
          <w:bCs/>
          <w:szCs w:val="18"/>
        </w:rPr>
        <w:t xml:space="preserve"> and the commitments made within the strategy</w:t>
      </w:r>
      <w:r w:rsidR="00D86C4D">
        <w:rPr>
          <w:rFonts w:cs="Arial"/>
          <w:bCs/>
          <w:szCs w:val="18"/>
        </w:rPr>
        <w:t>:</w:t>
      </w:r>
    </w:p>
    <w:p w14:paraId="02CFE248" w14:textId="77777777" w:rsidR="00311543" w:rsidRDefault="00311543" w:rsidP="000A65E3">
      <w:pPr>
        <w:spacing w:before="240"/>
        <w:rPr>
          <w:rFonts w:cs="Arial"/>
          <w:bCs/>
          <w:szCs w:val="18"/>
        </w:rPr>
      </w:pPr>
    </w:p>
    <w:p w14:paraId="2D4CF55E" w14:textId="7B105E9D" w:rsidR="00D86C4D" w:rsidRPr="00A70FAB" w:rsidRDefault="00D86C4D" w:rsidP="00A70FAB">
      <w:pPr>
        <w:rPr>
          <w:rFonts w:cs="Arial"/>
          <w:bCs/>
          <w:i/>
          <w:iCs/>
          <w:szCs w:val="18"/>
          <w:u w:val="single"/>
        </w:rPr>
      </w:pPr>
      <w:r w:rsidRPr="00A70FAB">
        <w:rPr>
          <w:rFonts w:cs="Arial"/>
          <w:bCs/>
          <w:i/>
          <w:iCs/>
          <w:szCs w:val="18"/>
          <w:u w:val="single"/>
        </w:rPr>
        <w:t>Making every contact count</w:t>
      </w:r>
      <w:r w:rsidR="003D6C9A">
        <w:rPr>
          <w:rFonts w:cs="Arial"/>
          <w:bCs/>
          <w:i/>
          <w:iCs/>
          <w:szCs w:val="18"/>
          <w:u w:val="single"/>
        </w:rPr>
        <w:t xml:space="preserve"> (MECC)</w:t>
      </w:r>
      <w:r w:rsidRPr="00A70FAB">
        <w:rPr>
          <w:rFonts w:cs="Arial"/>
          <w:bCs/>
          <w:i/>
          <w:iCs/>
          <w:szCs w:val="18"/>
          <w:u w:val="single"/>
        </w:rPr>
        <w:t xml:space="preserve"> everyone’s business </w:t>
      </w:r>
    </w:p>
    <w:p w14:paraId="654DCFD3" w14:textId="77777777" w:rsidR="00A70FAB" w:rsidRDefault="00A70FAB" w:rsidP="00A70FAB">
      <w:pPr>
        <w:ind w:left="790"/>
        <w:rPr>
          <w:rFonts w:cs="Arial"/>
          <w:bCs/>
          <w:szCs w:val="18"/>
        </w:rPr>
      </w:pPr>
    </w:p>
    <w:p w14:paraId="4AE60919" w14:textId="77777777" w:rsidR="00A70FAB" w:rsidRDefault="00A70FAB" w:rsidP="00A70FAB">
      <w:pPr>
        <w:rPr>
          <w:rFonts w:cs="Arial"/>
          <w:bCs/>
          <w:szCs w:val="18"/>
        </w:rPr>
      </w:pPr>
      <w:r w:rsidRPr="00A70FAB">
        <w:rPr>
          <w:rFonts w:cs="Arial"/>
          <w:bCs/>
          <w:szCs w:val="18"/>
        </w:rPr>
        <w:t>MECC enables the opportunistic delivery of consistent and concise healthy lifestyle information and enables individuals to engage in conversations about their health at scale across organisations and populations</w:t>
      </w:r>
      <w:r>
        <w:rPr>
          <w:rFonts w:cs="Arial"/>
          <w:bCs/>
          <w:szCs w:val="18"/>
        </w:rPr>
        <w:t xml:space="preserve">. </w:t>
      </w:r>
      <w:r w:rsidRPr="00A70FAB">
        <w:rPr>
          <w:rFonts w:cs="Arial"/>
          <w:bCs/>
          <w:szCs w:val="18"/>
        </w:rPr>
        <w:t>The point about MECC interventions is that they don’t need to be undertaken by a health professional. By developing some simple key communication skills and communicating evidence based healthy lifestyle messages – everyone can have a role to play. MECC is about utilising those everyday conversations with the public to make a difference</w:t>
      </w:r>
      <w:r>
        <w:rPr>
          <w:rFonts w:cs="Arial"/>
          <w:bCs/>
          <w:szCs w:val="18"/>
        </w:rPr>
        <w:t>. Commitments within the strategy include:</w:t>
      </w:r>
    </w:p>
    <w:p w14:paraId="4117D7C3" w14:textId="77777777" w:rsidR="00A70FAB" w:rsidRDefault="00A70FAB" w:rsidP="00A70FAB">
      <w:pPr>
        <w:rPr>
          <w:rFonts w:cs="Arial"/>
          <w:bCs/>
          <w:szCs w:val="18"/>
        </w:rPr>
      </w:pPr>
    </w:p>
    <w:p w14:paraId="3A7E3F57" w14:textId="75F7DE4B" w:rsidR="00311543" w:rsidRPr="00A70FAB" w:rsidRDefault="00311543" w:rsidP="00A70FAB">
      <w:pPr>
        <w:pStyle w:val="ListParagraph"/>
        <w:numPr>
          <w:ilvl w:val="0"/>
          <w:numId w:val="44"/>
        </w:numPr>
        <w:rPr>
          <w:rFonts w:cs="Arial"/>
          <w:bCs/>
          <w:szCs w:val="18"/>
        </w:rPr>
      </w:pPr>
      <w:r w:rsidRPr="00A70FAB">
        <w:rPr>
          <w:rFonts w:cs="Arial"/>
          <w:bCs/>
          <w:szCs w:val="18"/>
        </w:rPr>
        <w:t>Identifying which communities and neighbourhoods within Harrow that would benefit from the MECC programme through a population health management approach</w:t>
      </w:r>
    </w:p>
    <w:p w14:paraId="1850B06B" w14:textId="77777777" w:rsidR="00311543" w:rsidRPr="00A70FAB" w:rsidRDefault="00311543" w:rsidP="00A70FAB">
      <w:pPr>
        <w:pStyle w:val="ListParagraph"/>
        <w:numPr>
          <w:ilvl w:val="0"/>
          <w:numId w:val="44"/>
        </w:numPr>
        <w:rPr>
          <w:rFonts w:cs="Arial"/>
          <w:bCs/>
          <w:szCs w:val="18"/>
        </w:rPr>
      </w:pPr>
      <w:r w:rsidRPr="00A70FAB">
        <w:rPr>
          <w:rFonts w:cs="Arial"/>
          <w:bCs/>
          <w:szCs w:val="18"/>
        </w:rPr>
        <w:t>Working with the community and voluntary sector to embed the MECC approach</w:t>
      </w:r>
    </w:p>
    <w:p w14:paraId="71FC3124" w14:textId="6CA155C2" w:rsidR="00311543" w:rsidRPr="00A70FAB" w:rsidRDefault="00311543" w:rsidP="00A70FAB">
      <w:pPr>
        <w:pStyle w:val="ListParagraph"/>
        <w:numPr>
          <w:ilvl w:val="0"/>
          <w:numId w:val="44"/>
        </w:numPr>
        <w:rPr>
          <w:rFonts w:cs="Arial"/>
          <w:bCs/>
          <w:szCs w:val="18"/>
        </w:rPr>
      </w:pPr>
      <w:r w:rsidRPr="00A70FAB">
        <w:rPr>
          <w:rFonts w:cs="Arial"/>
          <w:bCs/>
          <w:szCs w:val="18"/>
        </w:rPr>
        <w:t>Developing MECC training for the Harrow workforce, as well as community groups</w:t>
      </w:r>
    </w:p>
    <w:p w14:paraId="0463EBAA" w14:textId="77777777" w:rsidR="00311543" w:rsidRPr="00311543" w:rsidRDefault="00311543" w:rsidP="00311543">
      <w:pPr>
        <w:ind w:left="1153"/>
        <w:rPr>
          <w:rFonts w:cs="Arial"/>
          <w:bCs/>
          <w:szCs w:val="18"/>
        </w:rPr>
      </w:pPr>
    </w:p>
    <w:p w14:paraId="7C6DF40E" w14:textId="7443C5DB" w:rsidR="00D86C4D" w:rsidRDefault="00D86C4D" w:rsidP="00A70FAB">
      <w:pPr>
        <w:rPr>
          <w:rFonts w:cs="Arial"/>
          <w:bCs/>
          <w:i/>
          <w:iCs/>
          <w:szCs w:val="18"/>
          <w:u w:val="single"/>
        </w:rPr>
      </w:pPr>
      <w:r w:rsidRPr="00A70FAB">
        <w:rPr>
          <w:rFonts w:cs="Arial"/>
          <w:bCs/>
          <w:i/>
          <w:iCs/>
          <w:szCs w:val="18"/>
          <w:u w:val="single"/>
        </w:rPr>
        <w:t>Community involvement and engagement</w:t>
      </w:r>
    </w:p>
    <w:p w14:paraId="670A484F" w14:textId="1084F251" w:rsidR="00A70FAB" w:rsidRDefault="00A70FAB" w:rsidP="00A70FAB">
      <w:pPr>
        <w:rPr>
          <w:rFonts w:cs="Arial"/>
          <w:bCs/>
          <w:i/>
          <w:iCs/>
          <w:szCs w:val="18"/>
          <w:u w:val="single"/>
        </w:rPr>
      </w:pPr>
    </w:p>
    <w:p w14:paraId="13EA653D" w14:textId="77777777" w:rsidR="00A70FAB" w:rsidRPr="00A70FAB" w:rsidRDefault="00A70FAB" w:rsidP="00A70FAB">
      <w:pPr>
        <w:rPr>
          <w:rFonts w:cs="Arial"/>
          <w:bCs/>
          <w:szCs w:val="18"/>
        </w:rPr>
      </w:pPr>
      <w:r w:rsidRPr="00A70FAB">
        <w:rPr>
          <w:rFonts w:cs="Arial"/>
          <w:bCs/>
          <w:szCs w:val="18"/>
        </w:rPr>
        <w:t xml:space="preserve">Community involvement and engagement is more than consultation. </w:t>
      </w:r>
    </w:p>
    <w:p w14:paraId="3893AC94" w14:textId="6A18B130" w:rsidR="00A70FAB" w:rsidRPr="00A70FAB" w:rsidRDefault="00A70FAB" w:rsidP="00A70FAB">
      <w:pPr>
        <w:rPr>
          <w:rFonts w:cs="Arial"/>
          <w:bCs/>
          <w:szCs w:val="18"/>
        </w:rPr>
      </w:pPr>
      <w:r w:rsidRPr="00A70FAB">
        <w:rPr>
          <w:rFonts w:cs="Arial"/>
          <w:bCs/>
          <w:szCs w:val="18"/>
        </w:rPr>
        <w:t>Involvement and engagement is to systematically highlight the known issues to the communities that they matter to the most, to explore motivations and barriers and to create ownership and enable residents to take some control in their health and wellbeing choices.</w:t>
      </w:r>
      <w:r>
        <w:rPr>
          <w:rFonts w:cs="Arial"/>
          <w:bCs/>
          <w:szCs w:val="18"/>
        </w:rPr>
        <w:t xml:space="preserve"> </w:t>
      </w:r>
      <w:r w:rsidRPr="00A70FAB">
        <w:rPr>
          <w:rFonts w:cs="Arial"/>
          <w:bCs/>
          <w:szCs w:val="18"/>
        </w:rPr>
        <w:t>Health</w:t>
      </w:r>
      <w:r>
        <w:rPr>
          <w:rFonts w:cs="Arial"/>
          <w:bCs/>
          <w:szCs w:val="18"/>
        </w:rPr>
        <w:t>, care, community &amp; voluntary sector partners</w:t>
      </w:r>
      <w:r w:rsidRPr="00A70FAB">
        <w:rPr>
          <w:rFonts w:cs="Arial"/>
          <w:bCs/>
          <w:szCs w:val="18"/>
        </w:rPr>
        <w:t xml:space="preserve"> will need to initially coordinate this activity, based on the priorities arising from the JSNA and to initially propose which issues are most appropriate to approach the community with. </w:t>
      </w:r>
      <w:r>
        <w:rPr>
          <w:rFonts w:cs="Arial"/>
          <w:bCs/>
          <w:szCs w:val="18"/>
        </w:rPr>
        <w:t>Commitments within the strategy include:</w:t>
      </w:r>
    </w:p>
    <w:p w14:paraId="6FB8E445" w14:textId="77777777" w:rsidR="00A70FAB" w:rsidRPr="00A70FAB" w:rsidRDefault="00A70FAB" w:rsidP="00A70FAB">
      <w:pPr>
        <w:rPr>
          <w:rFonts w:cs="Arial"/>
          <w:bCs/>
          <w:i/>
          <w:iCs/>
          <w:szCs w:val="18"/>
          <w:u w:val="single"/>
        </w:rPr>
      </w:pPr>
    </w:p>
    <w:p w14:paraId="30933EE2" w14:textId="77777777" w:rsidR="00311543" w:rsidRPr="00A70FAB" w:rsidRDefault="00311543" w:rsidP="00A70FAB">
      <w:pPr>
        <w:pStyle w:val="ListParagraph"/>
        <w:numPr>
          <w:ilvl w:val="0"/>
          <w:numId w:val="45"/>
        </w:numPr>
        <w:rPr>
          <w:rFonts w:cs="Arial"/>
          <w:bCs/>
          <w:szCs w:val="18"/>
        </w:rPr>
      </w:pPr>
      <w:r w:rsidRPr="00A70FAB">
        <w:rPr>
          <w:rFonts w:cs="Arial"/>
          <w:bCs/>
          <w:szCs w:val="18"/>
        </w:rPr>
        <w:t>Produce a systematic basis for engagement topics and corresponding schedule of involvement and engagement themes with the community</w:t>
      </w:r>
    </w:p>
    <w:p w14:paraId="1BE02990" w14:textId="77777777" w:rsidR="00311543" w:rsidRPr="00A70FAB" w:rsidRDefault="00311543" w:rsidP="00A70FAB">
      <w:pPr>
        <w:pStyle w:val="ListParagraph"/>
        <w:numPr>
          <w:ilvl w:val="0"/>
          <w:numId w:val="45"/>
        </w:numPr>
        <w:rPr>
          <w:rFonts w:cs="Arial"/>
          <w:bCs/>
          <w:szCs w:val="18"/>
        </w:rPr>
      </w:pPr>
      <w:r w:rsidRPr="00A70FAB">
        <w:rPr>
          <w:rFonts w:cs="Arial"/>
          <w:bCs/>
          <w:szCs w:val="18"/>
        </w:rPr>
        <w:t>Identify who are broad and specific stakeholder groups are and ensure an appropriate level of engagement</w:t>
      </w:r>
    </w:p>
    <w:p w14:paraId="01A73B67" w14:textId="77777777" w:rsidR="00311543" w:rsidRPr="00A70FAB" w:rsidRDefault="00311543" w:rsidP="00A70FAB">
      <w:pPr>
        <w:pStyle w:val="ListParagraph"/>
        <w:numPr>
          <w:ilvl w:val="0"/>
          <w:numId w:val="45"/>
        </w:numPr>
        <w:rPr>
          <w:rFonts w:cs="Arial"/>
          <w:bCs/>
          <w:szCs w:val="18"/>
        </w:rPr>
      </w:pPr>
      <w:r w:rsidRPr="00A70FAB">
        <w:rPr>
          <w:rFonts w:cs="Arial"/>
          <w:bCs/>
          <w:szCs w:val="18"/>
        </w:rPr>
        <w:t>Access to venues and resources (e.g. Children’s Centres, Family Hubs, Drop-In Cafes)</w:t>
      </w:r>
    </w:p>
    <w:p w14:paraId="079E99D7" w14:textId="77777777" w:rsidR="00311543" w:rsidRPr="00A70FAB" w:rsidRDefault="00311543" w:rsidP="00A70FAB">
      <w:pPr>
        <w:pStyle w:val="ListParagraph"/>
        <w:numPr>
          <w:ilvl w:val="0"/>
          <w:numId w:val="45"/>
        </w:numPr>
        <w:rPr>
          <w:rFonts w:cs="Arial"/>
          <w:bCs/>
          <w:szCs w:val="18"/>
        </w:rPr>
      </w:pPr>
      <w:r w:rsidRPr="00A70FAB">
        <w:rPr>
          <w:rFonts w:cs="Arial"/>
          <w:bCs/>
          <w:szCs w:val="18"/>
        </w:rPr>
        <w:t>Encouraging volunteering - including micro-volunteering, working as and with local employers</w:t>
      </w:r>
    </w:p>
    <w:p w14:paraId="6A808227" w14:textId="77777777" w:rsidR="00311543" w:rsidRPr="00A70FAB" w:rsidRDefault="00311543" w:rsidP="00A70FAB">
      <w:pPr>
        <w:pStyle w:val="ListParagraph"/>
        <w:numPr>
          <w:ilvl w:val="0"/>
          <w:numId w:val="45"/>
        </w:numPr>
        <w:rPr>
          <w:rFonts w:cs="Arial"/>
          <w:bCs/>
          <w:szCs w:val="18"/>
        </w:rPr>
      </w:pPr>
      <w:r w:rsidRPr="00A70FAB">
        <w:rPr>
          <w:rFonts w:cs="Arial"/>
          <w:bCs/>
          <w:szCs w:val="18"/>
        </w:rPr>
        <w:t>Joining up support in the community (e.g. around CAB and debt support)</w:t>
      </w:r>
    </w:p>
    <w:p w14:paraId="7ECB1D84" w14:textId="085499B9" w:rsidR="00311543" w:rsidRPr="00A70FAB" w:rsidRDefault="00311543" w:rsidP="00A70FAB">
      <w:pPr>
        <w:pStyle w:val="ListParagraph"/>
        <w:numPr>
          <w:ilvl w:val="0"/>
          <w:numId w:val="45"/>
        </w:numPr>
        <w:rPr>
          <w:rFonts w:cs="Arial"/>
          <w:bCs/>
          <w:szCs w:val="18"/>
        </w:rPr>
      </w:pPr>
      <w:r w:rsidRPr="00A70FAB">
        <w:rPr>
          <w:rFonts w:cs="Arial"/>
          <w:bCs/>
          <w:szCs w:val="18"/>
        </w:rPr>
        <w:t xml:space="preserve">Prioritising and investing long-term in what we have (JOY social prescribing platform and other digital transformation) </w:t>
      </w:r>
    </w:p>
    <w:p w14:paraId="447F3D45" w14:textId="77777777" w:rsidR="00311543" w:rsidRPr="00311543" w:rsidRDefault="00311543" w:rsidP="00311543">
      <w:pPr>
        <w:pStyle w:val="ListParagraph"/>
        <w:ind w:left="1510"/>
        <w:rPr>
          <w:rFonts w:cs="Arial"/>
          <w:bCs/>
          <w:szCs w:val="18"/>
        </w:rPr>
      </w:pPr>
    </w:p>
    <w:p w14:paraId="4CD32027" w14:textId="77777777" w:rsidR="00A70FAB" w:rsidRDefault="00A70FAB" w:rsidP="00A70FAB">
      <w:pPr>
        <w:rPr>
          <w:rFonts w:cs="Arial"/>
          <w:bCs/>
          <w:szCs w:val="18"/>
        </w:rPr>
      </w:pPr>
    </w:p>
    <w:p w14:paraId="2138C648" w14:textId="242623BB" w:rsidR="00D86C4D" w:rsidRDefault="00D86C4D" w:rsidP="00A70FAB">
      <w:pPr>
        <w:rPr>
          <w:rFonts w:cs="Arial"/>
          <w:bCs/>
          <w:i/>
          <w:iCs/>
          <w:szCs w:val="18"/>
          <w:u w:val="single"/>
        </w:rPr>
      </w:pPr>
      <w:r w:rsidRPr="00A70FAB">
        <w:rPr>
          <w:rFonts w:cs="Arial"/>
          <w:bCs/>
          <w:i/>
          <w:iCs/>
          <w:szCs w:val="18"/>
          <w:u w:val="single"/>
        </w:rPr>
        <w:t>Creating and embedding Health in All Policies</w:t>
      </w:r>
    </w:p>
    <w:p w14:paraId="66357C2C" w14:textId="2D62A57D" w:rsidR="00A70FAB" w:rsidRDefault="00A70FAB" w:rsidP="00A70FAB">
      <w:pPr>
        <w:rPr>
          <w:rFonts w:cs="Arial"/>
          <w:bCs/>
          <w:i/>
          <w:iCs/>
          <w:szCs w:val="18"/>
          <w:u w:val="single"/>
        </w:rPr>
      </w:pPr>
    </w:p>
    <w:p w14:paraId="24188763" w14:textId="77777777" w:rsidR="00661686" w:rsidRPr="00661686" w:rsidRDefault="00661686" w:rsidP="00661686">
      <w:pPr>
        <w:rPr>
          <w:rFonts w:cs="Arial"/>
          <w:bCs/>
          <w:szCs w:val="18"/>
        </w:rPr>
      </w:pPr>
      <w:r w:rsidRPr="00661686">
        <w:rPr>
          <w:rFonts w:cs="Arial"/>
          <w:bCs/>
          <w:szCs w:val="18"/>
        </w:rPr>
        <w:t>The Health and Wellbeing Strategy outlines a wide range of determinants</w:t>
      </w:r>
    </w:p>
    <w:p w14:paraId="5C0E994F" w14:textId="77777777" w:rsidR="00661686" w:rsidRPr="00661686" w:rsidRDefault="00661686" w:rsidP="00661686">
      <w:pPr>
        <w:rPr>
          <w:rFonts w:cs="Arial"/>
          <w:bCs/>
          <w:szCs w:val="18"/>
        </w:rPr>
      </w:pPr>
      <w:r w:rsidRPr="00661686">
        <w:rPr>
          <w:rFonts w:cs="Arial"/>
          <w:bCs/>
          <w:szCs w:val="18"/>
        </w:rPr>
        <w:t>(building blocks) of health and wellbeing including education, housing,</w:t>
      </w:r>
    </w:p>
    <w:p w14:paraId="371C5C51" w14:textId="77777777" w:rsidR="00661686" w:rsidRPr="00661686" w:rsidRDefault="00661686" w:rsidP="00661686">
      <w:pPr>
        <w:rPr>
          <w:rFonts w:cs="Arial"/>
          <w:bCs/>
          <w:szCs w:val="18"/>
        </w:rPr>
      </w:pPr>
      <w:r w:rsidRPr="00661686">
        <w:rPr>
          <w:rFonts w:cs="Arial"/>
          <w:bCs/>
          <w:szCs w:val="18"/>
        </w:rPr>
        <w:t>transportation and economic productivity. Each of these building blocks of</w:t>
      </w:r>
    </w:p>
    <w:p w14:paraId="560E697D" w14:textId="77777777" w:rsidR="00661686" w:rsidRPr="00661686" w:rsidRDefault="00661686" w:rsidP="00661686">
      <w:pPr>
        <w:rPr>
          <w:rFonts w:cs="Arial"/>
          <w:bCs/>
          <w:szCs w:val="18"/>
        </w:rPr>
      </w:pPr>
      <w:r w:rsidRPr="00661686">
        <w:rPr>
          <w:rFonts w:cs="Arial"/>
          <w:bCs/>
          <w:szCs w:val="18"/>
        </w:rPr>
        <w:t>health will have separate policies directing their activity, and as such, it is</w:t>
      </w:r>
    </w:p>
    <w:p w14:paraId="01F1C6FE" w14:textId="77777777" w:rsidR="00661686" w:rsidRPr="00661686" w:rsidRDefault="00661686" w:rsidP="00661686">
      <w:pPr>
        <w:rPr>
          <w:rFonts w:cs="Arial"/>
          <w:bCs/>
          <w:szCs w:val="18"/>
        </w:rPr>
      </w:pPr>
      <w:r w:rsidRPr="00661686">
        <w:rPr>
          <w:rFonts w:cs="Arial"/>
          <w:bCs/>
          <w:szCs w:val="18"/>
        </w:rPr>
        <w:t>important that these policies all demonstrate an understanding on how they</w:t>
      </w:r>
    </w:p>
    <w:p w14:paraId="336BA4F0" w14:textId="77777777" w:rsidR="00661686" w:rsidRPr="00661686" w:rsidRDefault="00661686" w:rsidP="00661686">
      <w:pPr>
        <w:rPr>
          <w:rFonts w:cs="Arial"/>
          <w:bCs/>
          <w:szCs w:val="18"/>
        </w:rPr>
      </w:pPr>
      <w:r w:rsidRPr="00661686">
        <w:rPr>
          <w:rFonts w:cs="Arial"/>
          <w:bCs/>
          <w:szCs w:val="18"/>
        </w:rPr>
        <w:t>can positively impact health and wellbeing. This concept is referred to as</w:t>
      </w:r>
    </w:p>
    <w:p w14:paraId="43A35A8A" w14:textId="2D857524" w:rsidR="00661686" w:rsidRDefault="00661686" w:rsidP="00661686">
      <w:pPr>
        <w:rPr>
          <w:rFonts w:cs="Arial"/>
          <w:bCs/>
          <w:szCs w:val="18"/>
        </w:rPr>
      </w:pPr>
      <w:r w:rsidRPr="00661686">
        <w:rPr>
          <w:rFonts w:cs="Arial"/>
          <w:bCs/>
          <w:szCs w:val="18"/>
        </w:rPr>
        <w:lastRenderedPageBreak/>
        <w:t>Health In All Policies (HIAP).</w:t>
      </w:r>
      <w:r w:rsidRPr="00661686">
        <w:t xml:space="preserve"> </w:t>
      </w:r>
    </w:p>
    <w:p w14:paraId="46894FDD" w14:textId="77777777" w:rsidR="00661686" w:rsidRPr="00661686" w:rsidRDefault="00661686" w:rsidP="00661686">
      <w:pPr>
        <w:rPr>
          <w:rFonts w:cs="Arial"/>
          <w:bCs/>
          <w:szCs w:val="18"/>
        </w:rPr>
      </w:pPr>
    </w:p>
    <w:p w14:paraId="6CD53852" w14:textId="77777777" w:rsidR="00661686" w:rsidRPr="00661686" w:rsidRDefault="00661686" w:rsidP="00661686">
      <w:pPr>
        <w:rPr>
          <w:rFonts w:cs="Arial"/>
          <w:bCs/>
          <w:szCs w:val="18"/>
        </w:rPr>
      </w:pPr>
      <w:r w:rsidRPr="00661686">
        <w:rPr>
          <w:rFonts w:cs="Arial"/>
          <w:bCs/>
          <w:szCs w:val="18"/>
        </w:rPr>
        <w:t>The Health and Wellbeing Strategy crosses many organisational boundaries.</w:t>
      </w:r>
    </w:p>
    <w:p w14:paraId="4ADE99F9" w14:textId="77777777" w:rsidR="00661686" w:rsidRPr="00661686" w:rsidRDefault="00661686" w:rsidP="00661686">
      <w:pPr>
        <w:rPr>
          <w:rFonts w:cs="Arial"/>
          <w:bCs/>
          <w:szCs w:val="18"/>
        </w:rPr>
      </w:pPr>
      <w:r w:rsidRPr="00661686">
        <w:rPr>
          <w:rFonts w:cs="Arial"/>
          <w:bCs/>
          <w:szCs w:val="18"/>
        </w:rPr>
        <w:t>Each Health and Wellbeing member organisation will ensure that the strategy,</w:t>
      </w:r>
    </w:p>
    <w:p w14:paraId="3C73685A" w14:textId="33FB0564" w:rsidR="00A70FAB" w:rsidRDefault="00661686" w:rsidP="00661686">
      <w:pPr>
        <w:rPr>
          <w:rFonts w:cs="Arial"/>
          <w:bCs/>
          <w:szCs w:val="18"/>
        </w:rPr>
      </w:pPr>
      <w:r w:rsidRPr="00661686">
        <w:rPr>
          <w:rFonts w:cs="Arial"/>
          <w:bCs/>
          <w:szCs w:val="18"/>
        </w:rPr>
        <w:t>aims, and principles are reflected in their own Corporate Objectives.</w:t>
      </w:r>
      <w:r>
        <w:rPr>
          <w:rFonts w:cs="Arial"/>
          <w:bCs/>
          <w:szCs w:val="18"/>
        </w:rPr>
        <w:t xml:space="preserve"> </w:t>
      </w:r>
      <w:r w:rsidRPr="00661686">
        <w:rPr>
          <w:rFonts w:cs="Arial"/>
          <w:bCs/>
          <w:szCs w:val="18"/>
        </w:rPr>
        <w:t>Commitments within the strategy include:</w:t>
      </w:r>
    </w:p>
    <w:p w14:paraId="02547E2B" w14:textId="77777777" w:rsidR="00661686" w:rsidRPr="00A70FAB" w:rsidRDefault="00661686" w:rsidP="00661686">
      <w:pPr>
        <w:rPr>
          <w:rFonts w:cs="Arial"/>
          <w:bCs/>
          <w:szCs w:val="18"/>
        </w:rPr>
      </w:pPr>
    </w:p>
    <w:p w14:paraId="65BB40AC" w14:textId="77777777" w:rsidR="00311543" w:rsidRPr="00661686" w:rsidRDefault="00311543" w:rsidP="00661686">
      <w:pPr>
        <w:pStyle w:val="ListParagraph"/>
        <w:numPr>
          <w:ilvl w:val="0"/>
          <w:numId w:val="46"/>
        </w:numPr>
        <w:rPr>
          <w:rFonts w:cs="Arial"/>
          <w:bCs/>
          <w:szCs w:val="18"/>
        </w:rPr>
      </w:pPr>
      <w:r w:rsidRPr="00661686">
        <w:rPr>
          <w:rFonts w:cs="Arial"/>
          <w:bCs/>
          <w:szCs w:val="18"/>
        </w:rPr>
        <w:t>Embed a health in all policies approach throughout the system</w:t>
      </w:r>
    </w:p>
    <w:p w14:paraId="5BACE9FD" w14:textId="77777777" w:rsidR="00311543" w:rsidRPr="00661686" w:rsidRDefault="00311543" w:rsidP="00661686">
      <w:pPr>
        <w:pStyle w:val="ListParagraph"/>
        <w:numPr>
          <w:ilvl w:val="0"/>
          <w:numId w:val="46"/>
        </w:numPr>
        <w:rPr>
          <w:rFonts w:cs="Arial"/>
          <w:bCs/>
          <w:szCs w:val="18"/>
        </w:rPr>
      </w:pPr>
      <w:r w:rsidRPr="00661686">
        <w:rPr>
          <w:rFonts w:cs="Arial"/>
          <w:bCs/>
          <w:szCs w:val="18"/>
        </w:rPr>
        <w:t>Supporting staff to understand how they can influence health and wellbeing through their policies</w:t>
      </w:r>
    </w:p>
    <w:p w14:paraId="13997125" w14:textId="77777777" w:rsidR="00311543" w:rsidRPr="00661686" w:rsidRDefault="00311543" w:rsidP="00661686">
      <w:pPr>
        <w:pStyle w:val="ListParagraph"/>
        <w:numPr>
          <w:ilvl w:val="0"/>
          <w:numId w:val="46"/>
        </w:numPr>
        <w:rPr>
          <w:rFonts w:cs="Arial"/>
          <w:bCs/>
          <w:szCs w:val="18"/>
        </w:rPr>
      </w:pPr>
      <w:r w:rsidRPr="00661686">
        <w:rPr>
          <w:rFonts w:cs="Arial"/>
          <w:bCs/>
          <w:szCs w:val="18"/>
        </w:rPr>
        <w:t>Agree and standardise the approach to Health Impact assessments throughout the borough</w:t>
      </w:r>
    </w:p>
    <w:p w14:paraId="009650F1" w14:textId="77777777" w:rsidR="00311543" w:rsidRPr="00661686" w:rsidRDefault="00311543" w:rsidP="00661686">
      <w:pPr>
        <w:pStyle w:val="ListParagraph"/>
        <w:numPr>
          <w:ilvl w:val="0"/>
          <w:numId w:val="46"/>
        </w:numPr>
        <w:rPr>
          <w:rFonts w:cs="Arial"/>
          <w:bCs/>
          <w:szCs w:val="18"/>
        </w:rPr>
      </w:pPr>
      <w:r w:rsidRPr="00661686">
        <w:rPr>
          <w:rFonts w:cs="Arial"/>
          <w:bCs/>
          <w:szCs w:val="18"/>
        </w:rPr>
        <w:t>Support the delivery of Core20PLUS5 programme through primary care</w:t>
      </w:r>
    </w:p>
    <w:p w14:paraId="2F9A6261" w14:textId="72D06653" w:rsidR="00A70FAB" w:rsidRDefault="00311543" w:rsidP="00661686">
      <w:pPr>
        <w:pStyle w:val="ListParagraph"/>
        <w:numPr>
          <w:ilvl w:val="0"/>
          <w:numId w:val="46"/>
        </w:numPr>
        <w:rPr>
          <w:rFonts w:cs="Arial"/>
          <w:bCs/>
          <w:szCs w:val="18"/>
        </w:rPr>
      </w:pPr>
      <w:r w:rsidRPr="00661686">
        <w:rPr>
          <w:rFonts w:cs="Arial"/>
          <w:bCs/>
          <w:szCs w:val="18"/>
        </w:rPr>
        <w:t>Embed Population Health Management as an approach across the system.</w:t>
      </w:r>
    </w:p>
    <w:p w14:paraId="07B2ACB7" w14:textId="6C989D01" w:rsidR="00661686" w:rsidRDefault="00661686" w:rsidP="00661686">
      <w:pPr>
        <w:rPr>
          <w:rFonts w:cs="Arial"/>
          <w:bCs/>
          <w:szCs w:val="18"/>
        </w:rPr>
      </w:pPr>
    </w:p>
    <w:p w14:paraId="39942E56" w14:textId="53246AD2" w:rsidR="00A70FAB" w:rsidRPr="00A70FAB" w:rsidRDefault="00A70FAB" w:rsidP="008E301A">
      <w:pPr>
        <w:spacing w:before="240"/>
        <w:rPr>
          <w:rFonts w:cs="Arial"/>
          <w:b/>
          <w:szCs w:val="18"/>
        </w:rPr>
      </w:pPr>
      <w:r>
        <w:rPr>
          <w:rFonts w:cs="Arial"/>
          <w:b/>
          <w:szCs w:val="18"/>
        </w:rPr>
        <w:t>For the board to consider and discuss:</w:t>
      </w:r>
    </w:p>
    <w:p w14:paraId="1762F296" w14:textId="09BBDB98" w:rsidR="008E301A" w:rsidRDefault="008E301A" w:rsidP="008E301A">
      <w:pPr>
        <w:spacing w:before="240"/>
        <w:rPr>
          <w:rFonts w:cs="Arial"/>
          <w:bCs/>
          <w:szCs w:val="18"/>
        </w:rPr>
      </w:pPr>
      <w:r>
        <w:rPr>
          <w:rFonts w:cs="Arial"/>
          <w:bCs/>
          <w:szCs w:val="18"/>
        </w:rPr>
        <w:t xml:space="preserve">To support developing a partnership and system-wide delivery plan, for each of the key programme areas, the board is asked to </w:t>
      </w:r>
      <w:r w:rsidR="00A70FAB">
        <w:rPr>
          <w:rFonts w:cs="Arial"/>
          <w:bCs/>
          <w:szCs w:val="18"/>
        </w:rPr>
        <w:t>consider and discuss</w:t>
      </w:r>
      <w:r>
        <w:rPr>
          <w:rFonts w:cs="Arial"/>
          <w:bCs/>
          <w:szCs w:val="18"/>
        </w:rPr>
        <w:t xml:space="preserve">:   </w:t>
      </w:r>
    </w:p>
    <w:p w14:paraId="06E4196F" w14:textId="77777777" w:rsidR="00A70FAB" w:rsidRDefault="00A70FAB" w:rsidP="008E301A">
      <w:pPr>
        <w:spacing w:before="240"/>
        <w:rPr>
          <w:rFonts w:cs="Arial"/>
          <w:bCs/>
          <w:szCs w:val="18"/>
        </w:rPr>
      </w:pPr>
    </w:p>
    <w:p w14:paraId="08523042" w14:textId="77777777" w:rsidR="008E301A" w:rsidRPr="008E301A" w:rsidRDefault="008E301A" w:rsidP="008E301A">
      <w:pPr>
        <w:pStyle w:val="ListParagraph"/>
        <w:numPr>
          <w:ilvl w:val="0"/>
          <w:numId w:val="43"/>
        </w:numPr>
        <w:ind w:left="714" w:hanging="357"/>
        <w:rPr>
          <w:rFonts w:cs="Arial"/>
          <w:bCs/>
          <w:szCs w:val="18"/>
        </w:rPr>
      </w:pPr>
      <w:r w:rsidRPr="008E301A">
        <w:rPr>
          <w:rFonts w:cs="Arial"/>
          <w:bCs/>
          <w:szCs w:val="18"/>
        </w:rPr>
        <w:t>What are the strengths and opportunities for the work programme?</w:t>
      </w:r>
    </w:p>
    <w:p w14:paraId="5411F8B1" w14:textId="77777777" w:rsidR="008E301A" w:rsidRPr="008E301A" w:rsidRDefault="008E301A" w:rsidP="008E301A">
      <w:pPr>
        <w:pStyle w:val="ListParagraph"/>
        <w:numPr>
          <w:ilvl w:val="0"/>
          <w:numId w:val="43"/>
        </w:numPr>
        <w:ind w:left="714" w:hanging="357"/>
        <w:rPr>
          <w:rFonts w:cs="Arial"/>
          <w:bCs/>
          <w:szCs w:val="18"/>
        </w:rPr>
      </w:pPr>
      <w:r w:rsidRPr="008E301A">
        <w:rPr>
          <w:rFonts w:cs="Arial"/>
          <w:bCs/>
          <w:szCs w:val="18"/>
        </w:rPr>
        <w:t xml:space="preserve">What are the challenges, threats and risks for the work programme? </w:t>
      </w:r>
    </w:p>
    <w:p w14:paraId="507E784A" w14:textId="77777777" w:rsidR="008E301A" w:rsidRPr="008E301A" w:rsidRDefault="008E301A" w:rsidP="008E301A">
      <w:pPr>
        <w:pStyle w:val="ListParagraph"/>
        <w:numPr>
          <w:ilvl w:val="0"/>
          <w:numId w:val="43"/>
        </w:numPr>
        <w:ind w:left="714" w:hanging="357"/>
        <w:rPr>
          <w:rFonts w:cs="Arial"/>
          <w:bCs/>
          <w:szCs w:val="18"/>
        </w:rPr>
      </w:pPr>
      <w:r w:rsidRPr="008E301A">
        <w:rPr>
          <w:rFonts w:cs="Arial"/>
          <w:bCs/>
          <w:szCs w:val="18"/>
        </w:rPr>
        <w:t xml:space="preserve">What will partners commit to delivering?  </w:t>
      </w:r>
    </w:p>
    <w:p w14:paraId="42C1D598" w14:textId="1ED98E7E" w:rsidR="00311543" w:rsidRPr="008E301A" w:rsidRDefault="008E301A" w:rsidP="008E301A">
      <w:pPr>
        <w:pStyle w:val="ListParagraph"/>
        <w:numPr>
          <w:ilvl w:val="0"/>
          <w:numId w:val="43"/>
        </w:numPr>
        <w:ind w:left="714" w:hanging="357"/>
        <w:rPr>
          <w:rFonts w:cs="Arial"/>
          <w:bCs/>
          <w:szCs w:val="18"/>
        </w:rPr>
      </w:pPr>
      <w:r w:rsidRPr="008E301A">
        <w:rPr>
          <w:rFonts w:cs="Arial"/>
          <w:bCs/>
          <w:szCs w:val="18"/>
        </w:rPr>
        <w:t>How will success be measured?</w:t>
      </w:r>
    </w:p>
    <w:p w14:paraId="18DC72AF" w14:textId="73AD95FB" w:rsidR="002A2389" w:rsidRDefault="00F646AB" w:rsidP="00FF4BB9">
      <w:pPr>
        <w:pStyle w:val="Heading3"/>
      </w:pPr>
      <w:r>
        <w:t>F</w:t>
      </w:r>
      <w:r w:rsidR="002A2389">
        <w:t>inancial Implications</w:t>
      </w:r>
      <w:r w:rsidR="00BE1C78">
        <w:t xml:space="preserve">/Comments </w:t>
      </w:r>
    </w:p>
    <w:p w14:paraId="60F9B7BD" w14:textId="0EC501AF" w:rsidR="0050580E" w:rsidRDefault="0050580E" w:rsidP="004C044A">
      <w:pPr>
        <w:spacing w:after="240"/>
      </w:pPr>
      <w:r>
        <w:t xml:space="preserve">There </w:t>
      </w:r>
      <w:r w:rsidR="00A86CB5">
        <w:t>are</w:t>
      </w:r>
      <w:r w:rsidR="00F77A0B">
        <w:t xml:space="preserve"> no </w:t>
      </w:r>
      <w:r w:rsidR="00A70FAB">
        <w:t xml:space="preserve">direct </w:t>
      </w:r>
      <w:r w:rsidR="00F77A0B">
        <w:t>costs associated with d</w:t>
      </w:r>
      <w:r w:rsidR="00A70FAB">
        <w:t>elivering</w:t>
      </w:r>
      <w:r w:rsidR="00F77A0B">
        <w:t xml:space="preserve"> the health and wellbeing strategy. </w:t>
      </w:r>
    </w:p>
    <w:p w14:paraId="6BAA630B" w14:textId="620344D1" w:rsidR="00F77A0B" w:rsidRDefault="00581685" w:rsidP="00F77A0B">
      <w:pPr>
        <w:spacing w:after="240"/>
      </w:pPr>
      <w:r w:rsidRPr="00A86CB5">
        <w:t>Whilst t</w:t>
      </w:r>
      <w:r w:rsidR="00F77A0B" w:rsidRPr="00A86CB5">
        <w:t>here are no additional direct financial implications arising from this report</w:t>
      </w:r>
      <w:r w:rsidRPr="00A86CB5">
        <w:t>, the prioritisation of strategy</w:t>
      </w:r>
      <w:r w:rsidR="00A70FAB">
        <w:t>,</w:t>
      </w:r>
      <w:r w:rsidRPr="00A86CB5">
        <w:t xml:space="preserve"> through the </w:t>
      </w:r>
      <w:r w:rsidR="00C8591B" w:rsidRPr="00A86CB5">
        <w:t>borough-based</w:t>
      </w:r>
      <w:r w:rsidRPr="00A86CB5">
        <w:t xml:space="preserve"> partnership </w:t>
      </w:r>
      <w:r w:rsidR="00A70FAB">
        <w:t xml:space="preserve">and wider system, </w:t>
      </w:r>
      <w:r w:rsidRPr="00A86CB5">
        <w:t>will need to be contained within existing partner resources, which includes the annual public health grant</w:t>
      </w:r>
      <w:r w:rsidR="00A86CB5">
        <w:t xml:space="preserve">. </w:t>
      </w:r>
    </w:p>
    <w:p w14:paraId="11B4AA01" w14:textId="77777777" w:rsidR="001417FD" w:rsidRDefault="001417FD" w:rsidP="00FF4BB9">
      <w:pPr>
        <w:pStyle w:val="Heading3"/>
      </w:pPr>
      <w:r w:rsidRPr="001417FD">
        <w:t xml:space="preserve">Legal Implications/Comments </w:t>
      </w:r>
    </w:p>
    <w:p w14:paraId="46A7A3BC" w14:textId="4F06FF85" w:rsidR="004F7E40" w:rsidRDefault="004F7E40" w:rsidP="004F7E40">
      <w:r>
        <w:t>Section 116A of the Local Government and Public Involvement in Health Act 2007</w:t>
      </w:r>
      <w:r w:rsidR="00DF390D">
        <w:t>, stipulates that it is the responsibility of the local authority</w:t>
      </w:r>
      <w:r w:rsidR="00AE5B5A">
        <w:t xml:space="preserve"> and integrated care boards to prepare a </w:t>
      </w:r>
      <w:r w:rsidR="004A5D00">
        <w:t xml:space="preserve">local health and wellbeing strategy. </w:t>
      </w:r>
    </w:p>
    <w:p w14:paraId="5A858082" w14:textId="4E9FEA58" w:rsidR="00655767" w:rsidRDefault="00655767" w:rsidP="004F7E40"/>
    <w:p w14:paraId="67EE1A1E" w14:textId="0CA1F98A" w:rsidR="00655767" w:rsidRDefault="00655767" w:rsidP="004F7E40">
      <w:r>
        <w:t xml:space="preserve">The </w:t>
      </w:r>
      <w:r w:rsidRPr="00655767">
        <w:t>Health and Social Care Act 2012</w:t>
      </w:r>
      <w:r w:rsidR="000100EC">
        <w:t xml:space="preserve"> provides responsibility to the Health and Wellbeing Board for the oversight of the local health and wellbeing strategy.  </w:t>
      </w:r>
    </w:p>
    <w:p w14:paraId="312B24FB" w14:textId="77777777" w:rsidR="00B06828" w:rsidRDefault="00B06828" w:rsidP="00B06828"/>
    <w:p w14:paraId="5F367E95" w14:textId="23F2C696" w:rsidR="00B06828" w:rsidRDefault="00B06828" w:rsidP="00B06828">
      <w:r>
        <w:t>A key responsibility of the Health and Wellbeing Board is to</w:t>
      </w:r>
      <w:r w:rsidR="000100EC">
        <w:t xml:space="preserve"> therefore have oversight and accountability of the </w:t>
      </w:r>
      <w:r w:rsidR="00604600">
        <w:t xml:space="preserve">proposed strategy. </w:t>
      </w:r>
      <w:r>
        <w:t xml:space="preserve"> </w:t>
      </w:r>
    </w:p>
    <w:p w14:paraId="5AEA940C" w14:textId="260D4295" w:rsidR="001417FD" w:rsidRDefault="001417FD"/>
    <w:p w14:paraId="65C013F6" w14:textId="77777777" w:rsidR="00F646AB" w:rsidRDefault="00F646AB"/>
    <w:p w14:paraId="743E6639" w14:textId="62B74521" w:rsidR="00C32DAE" w:rsidRDefault="00C32DAE" w:rsidP="00FF4BB9">
      <w:pPr>
        <w:pStyle w:val="Heading3"/>
      </w:pPr>
      <w:r>
        <w:t>Risk Management I</w:t>
      </w:r>
      <w:r w:rsidR="00604600">
        <w:t>m</w:t>
      </w:r>
      <w:r>
        <w:t>plications</w:t>
      </w:r>
    </w:p>
    <w:p w14:paraId="62729A13" w14:textId="45E5491C" w:rsidR="001E7655" w:rsidRDefault="00A942B5" w:rsidP="000A65FD">
      <w:pPr>
        <w:tabs>
          <w:tab w:val="left" w:pos="5610"/>
        </w:tabs>
        <w:ind w:right="81"/>
        <w:rPr>
          <w:rFonts w:cs="Arial"/>
          <w:szCs w:val="24"/>
          <w:lang w:val="en-US"/>
        </w:rPr>
      </w:pPr>
      <w:r>
        <w:rPr>
          <w:rFonts w:cs="Arial"/>
          <w:szCs w:val="24"/>
          <w:lang w:val="en-US"/>
        </w:rPr>
        <w:t xml:space="preserve">The </w:t>
      </w:r>
      <w:r w:rsidR="000A65FD">
        <w:rPr>
          <w:rFonts w:cs="Arial"/>
          <w:szCs w:val="24"/>
          <w:lang w:val="en-US"/>
        </w:rPr>
        <w:t>health and wellbeing strategy</w:t>
      </w:r>
      <w:r>
        <w:rPr>
          <w:rFonts w:cs="Arial"/>
          <w:szCs w:val="24"/>
          <w:lang w:val="en-US"/>
        </w:rPr>
        <w:t xml:space="preserve"> </w:t>
      </w:r>
      <w:r w:rsidR="000A65FD">
        <w:rPr>
          <w:rFonts w:cs="Arial"/>
          <w:szCs w:val="24"/>
          <w:lang w:val="en-US"/>
        </w:rPr>
        <w:t>does</w:t>
      </w:r>
      <w:r>
        <w:rPr>
          <w:rFonts w:cs="Arial"/>
          <w:szCs w:val="24"/>
          <w:lang w:val="en-US"/>
        </w:rPr>
        <w:t xml:space="preserve"> not present any risks</w:t>
      </w:r>
      <w:r w:rsidR="007978FF">
        <w:rPr>
          <w:rFonts w:cs="Arial"/>
          <w:szCs w:val="24"/>
          <w:lang w:val="en-US"/>
        </w:rPr>
        <w:t>, or suggest any</w:t>
      </w:r>
      <w:r w:rsidR="000A65FD">
        <w:rPr>
          <w:rFonts w:cs="Arial"/>
          <w:szCs w:val="24"/>
          <w:lang w:val="en-US"/>
        </w:rPr>
        <w:t xml:space="preserve"> </w:t>
      </w:r>
      <w:r w:rsidR="007978FF">
        <w:rPr>
          <w:rFonts w:cs="Arial"/>
          <w:szCs w:val="24"/>
          <w:lang w:val="en-US"/>
        </w:rPr>
        <w:t>mitigation</w:t>
      </w:r>
    </w:p>
    <w:p w14:paraId="0DE8B3A7" w14:textId="77777777" w:rsidR="007978FF" w:rsidRDefault="007978FF" w:rsidP="001E7655">
      <w:pPr>
        <w:tabs>
          <w:tab w:val="left" w:pos="5610"/>
        </w:tabs>
        <w:ind w:left="567" w:right="81" w:hanging="567"/>
        <w:rPr>
          <w:rFonts w:cs="Arial"/>
          <w:szCs w:val="24"/>
          <w:lang w:val="en-US"/>
        </w:rPr>
      </w:pPr>
    </w:p>
    <w:p w14:paraId="618DAEDB" w14:textId="52306888" w:rsidR="001E7655" w:rsidRPr="00105B8A" w:rsidRDefault="001E7655" w:rsidP="001E7655">
      <w:pPr>
        <w:tabs>
          <w:tab w:val="left" w:pos="5610"/>
        </w:tabs>
        <w:ind w:right="81"/>
        <w:rPr>
          <w:color w:val="0000FF"/>
        </w:rPr>
      </w:pPr>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1379ED3D" w14:textId="77777777" w:rsidR="001E7655" w:rsidRDefault="001E7655" w:rsidP="001E7655">
      <w:pPr>
        <w:ind w:left="-142" w:right="141"/>
        <w:rPr>
          <w:rFonts w:cs="Arial"/>
          <w:szCs w:val="24"/>
          <w:lang w:val="en-US" w:eastAsia="en-GB"/>
        </w:rPr>
      </w:pPr>
      <w:r>
        <w:rPr>
          <w:rFonts w:cs="Arial"/>
          <w:szCs w:val="24"/>
          <w:lang w:val="en-US" w:eastAsia="en-GB"/>
        </w:rPr>
        <w:t xml:space="preserve">  </w:t>
      </w:r>
    </w:p>
    <w:p w14:paraId="478F034B" w14:textId="0E268367" w:rsidR="001E7655" w:rsidRDefault="001E7655" w:rsidP="001E7655">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p>
    <w:p w14:paraId="547E2EAF" w14:textId="77777777" w:rsidR="001E7655" w:rsidRDefault="001E7655" w:rsidP="001E7655">
      <w:pPr>
        <w:tabs>
          <w:tab w:val="left" w:pos="5610"/>
        </w:tabs>
        <w:ind w:left="567" w:right="81" w:hanging="567"/>
      </w:pPr>
    </w:p>
    <w:p w14:paraId="178A4946" w14:textId="4F9029F5" w:rsidR="001E7655" w:rsidRDefault="001E7655" w:rsidP="00F646AB">
      <w:pPr>
        <w:tabs>
          <w:tab w:val="left" w:pos="5610"/>
        </w:tabs>
        <w:ind w:right="81"/>
      </w:pPr>
      <w:r>
        <w:t xml:space="preserve">The relevant risks contained in the register are attached/summarised below. </w:t>
      </w:r>
      <w:r>
        <w:rPr>
          <w:rFonts w:cs="Arial"/>
          <w:b/>
          <w:bCs/>
          <w:szCs w:val="24"/>
          <w:lang w:val="en-US" w:eastAsia="en-GB"/>
        </w:rPr>
        <w:t xml:space="preserve">n/a </w:t>
      </w:r>
    </w:p>
    <w:p w14:paraId="78EC3061" w14:textId="77777777" w:rsidR="00FD31A0" w:rsidRPr="00A50388" w:rsidRDefault="00A50388" w:rsidP="00FF4BB9">
      <w:pPr>
        <w:pStyle w:val="Heading3"/>
        <w:rPr>
          <w:color w:val="FF0000"/>
        </w:rPr>
      </w:pPr>
      <w:bookmarkStart w:id="0" w:name="_Hlk60923639"/>
      <w:bookmarkEnd w:id="0"/>
      <w:r>
        <w:t>Equalities implications / Public Sector Equality Duty</w:t>
      </w:r>
    </w:p>
    <w:p w14:paraId="1808E669" w14:textId="2E9FD3AD" w:rsidR="00FD31A0" w:rsidRPr="004A2543" w:rsidRDefault="00FD31A0" w:rsidP="00FD31A0">
      <w:r w:rsidRPr="004A2543">
        <w:t xml:space="preserve">Was an Equality Impact Assessment carried out?  </w:t>
      </w:r>
      <w:r w:rsidR="007B066E">
        <w:t>No</w:t>
      </w:r>
    </w:p>
    <w:p w14:paraId="343AC219" w14:textId="5F6562E7" w:rsidR="00B02DEE" w:rsidRPr="00971D17" w:rsidRDefault="00F646AB" w:rsidP="00971D17">
      <w:pPr>
        <w:pStyle w:val="Heading2"/>
      </w:pPr>
      <w:r>
        <w:t>S</w:t>
      </w:r>
      <w:r w:rsidR="002A2389" w:rsidRPr="00FF4BB9">
        <w:t>ection 3 - Statutory Officer Clearance</w:t>
      </w:r>
      <w:r w:rsidR="00BE1C78" w:rsidRPr="00FF4BB9">
        <w:t xml:space="preserve"> </w:t>
      </w:r>
      <w:r w:rsidR="001417FD" w:rsidRPr="00FF4BB9">
        <w:t>(Council and Joint Reports)</w:t>
      </w:r>
    </w:p>
    <w:p w14:paraId="62C39AB1" w14:textId="7BD7A8C0" w:rsidR="00074461" w:rsidRPr="00A66326" w:rsidRDefault="00074461" w:rsidP="00074461">
      <w:pPr>
        <w:rPr>
          <w:sz w:val="28"/>
        </w:rPr>
      </w:pPr>
      <w:r w:rsidRPr="00A66326">
        <w:rPr>
          <w:b/>
          <w:sz w:val="28"/>
        </w:rPr>
        <w:t xml:space="preserve">Statutory Officer:  </w:t>
      </w:r>
      <w:r w:rsidR="00F646AB">
        <w:rPr>
          <w:b/>
          <w:sz w:val="28"/>
        </w:rPr>
        <w:t>Donna Edwards</w:t>
      </w:r>
    </w:p>
    <w:p w14:paraId="0512701D" w14:textId="1B1E6594" w:rsidR="00074461" w:rsidRPr="00A66326" w:rsidRDefault="00074461" w:rsidP="00074461">
      <w:r w:rsidRPr="00A66326">
        <w:t xml:space="preserve">Signed on behalf </w:t>
      </w:r>
      <w:proofErr w:type="spellStart"/>
      <w:r w:rsidRPr="00A66326">
        <w:t>ofthe</w:t>
      </w:r>
      <w:proofErr w:type="spellEnd"/>
      <w:r w:rsidRPr="00A66326">
        <w:t xml:space="preserve"> Chief Financial Officer</w:t>
      </w:r>
    </w:p>
    <w:p w14:paraId="16050225" w14:textId="4F7E2E19" w:rsidR="00BC4B71" w:rsidRPr="00F646AB" w:rsidRDefault="00074461" w:rsidP="00074461">
      <w:pPr>
        <w:tabs>
          <w:tab w:val="left" w:pos="1540"/>
        </w:tabs>
        <w:spacing w:after="480"/>
        <w:rPr>
          <w:rFonts w:ascii="Arial Black" w:hAnsi="Arial Black"/>
          <w:b/>
          <w:color w:val="000000" w:themeColor="text1"/>
          <w:sz w:val="28"/>
          <w:szCs w:val="28"/>
        </w:rPr>
      </w:pPr>
      <w:r w:rsidRPr="00F646AB">
        <w:rPr>
          <w:rFonts w:ascii="Arial Black" w:hAnsi="Arial Black"/>
          <w:b/>
          <w:color w:val="000000" w:themeColor="text1"/>
          <w:sz w:val="28"/>
          <w:szCs w:val="28"/>
        </w:rPr>
        <w:t xml:space="preserve">Date: </w:t>
      </w:r>
      <w:r w:rsidR="00807D74" w:rsidRPr="00F646AB">
        <w:rPr>
          <w:rFonts w:ascii="Arial Black" w:hAnsi="Arial Black"/>
          <w:b/>
          <w:color w:val="000000" w:themeColor="text1"/>
          <w:sz w:val="28"/>
          <w:szCs w:val="28"/>
        </w:rPr>
        <w:t>02/06/23</w:t>
      </w:r>
    </w:p>
    <w:p w14:paraId="35265DB0" w14:textId="2BA4F08C" w:rsidR="00074461" w:rsidRPr="00A66326" w:rsidRDefault="00074461" w:rsidP="00074461">
      <w:pPr>
        <w:rPr>
          <w:sz w:val="28"/>
        </w:rPr>
      </w:pPr>
      <w:r w:rsidRPr="00A66326">
        <w:rPr>
          <w:b/>
          <w:sz w:val="28"/>
        </w:rPr>
        <w:t xml:space="preserve">Statutory Officer:  </w:t>
      </w:r>
      <w:r w:rsidR="00F646AB">
        <w:rPr>
          <w:b/>
          <w:sz w:val="28"/>
        </w:rPr>
        <w:t>Sharon Clarke</w:t>
      </w:r>
    </w:p>
    <w:p w14:paraId="1BE4FAE9" w14:textId="4FC7C0A9" w:rsidR="00074461" w:rsidRPr="00A66326" w:rsidRDefault="00074461" w:rsidP="00074461">
      <w:r w:rsidRPr="00A66326">
        <w:t>Signed on behalf of the Monitoring Officer</w:t>
      </w:r>
    </w:p>
    <w:p w14:paraId="0F89DC33" w14:textId="08287577" w:rsidR="00074461" w:rsidRPr="00F646AB" w:rsidRDefault="00074461" w:rsidP="00074461">
      <w:pPr>
        <w:spacing w:after="480"/>
        <w:rPr>
          <w:rFonts w:ascii="Arial Black" w:hAnsi="Arial Black"/>
          <w:color w:val="000000" w:themeColor="text1"/>
          <w:sz w:val="28"/>
          <w:szCs w:val="28"/>
        </w:rPr>
      </w:pPr>
      <w:r w:rsidRPr="00F646AB">
        <w:rPr>
          <w:rFonts w:ascii="Arial Black" w:hAnsi="Arial Black"/>
          <w:b/>
          <w:color w:val="000000" w:themeColor="text1"/>
          <w:sz w:val="28"/>
          <w:szCs w:val="28"/>
        </w:rPr>
        <w:t xml:space="preserve">Date:  </w:t>
      </w:r>
      <w:r w:rsidR="00101E01" w:rsidRPr="00F646AB">
        <w:rPr>
          <w:rFonts w:ascii="Arial Black" w:hAnsi="Arial Black"/>
          <w:b/>
          <w:color w:val="000000" w:themeColor="text1"/>
          <w:sz w:val="28"/>
          <w:szCs w:val="28"/>
        </w:rPr>
        <w:t>06/06/23</w:t>
      </w:r>
    </w:p>
    <w:p w14:paraId="36D14E6B" w14:textId="01241B09" w:rsidR="00074461" w:rsidRPr="00A66326" w:rsidRDefault="00074461" w:rsidP="00074461">
      <w:pPr>
        <w:rPr>
          <w:sz w:val="28"/>
        </w:rPr>
      </w:pPr>
      <w:r>
        <w:rPr>
          <w:b/>
          <w:sz w:val="28"/>
        </w:rPr>
        <w:t>Chief</w:t>
      </w:r>
      <w:r w:rsidRPr="00A66326">
        <w:rPr>
          <w:b/>
          <w:sz w:val="28"/>
        </w:rPr>
        <w:t xml:space="preserve"> Officer:  </w:t>
      </w:r>
      <w:r w:rsidR="00F646AB">
        <w:rPr>
          <w:b/>
          <w:sz w:val="28"/>
        </w:rPr>
        <w:t>Senel Arkut</w:t>
      </w:r>
    </w:p>
    <w:p w14:paraId="16BA3A10" w14:textId="330712E6" w:rsidR="00074461" w:rsidRDefault="00074461" w:rsidP="00074461">
      <w:r>
        <w:t xml:space="preserve">Signed </w:t>
      </w:r>
      <w:r w:rsidRPr="00A66326">
        <w:t>by the Corporate Director</w:t>
      </w:r>
    </w:p>
    <w:p w14:paraId="2561DE56" w14:textId="545E2525" w:rsidR="00FF4BB9" w:rsidRPr="00F646AB" w:rsidRDefault="00074461" w:rsidP="009C32B0">
      <w:pPr>
        <w:spacing w:after="480"/>
        <w:rPr>
          <w:rFonts w:ascii="Arial Black" w:hAnsi="Arial Black"/>
          <w:sz w:val="28"/>
          <w:szCs w:val="28"/>
        </w:rPr>
      </w:pPr>
      <w:r w:rsidRPr="00F646AB">
        <w:rPr>
          <w:rFonts w:ascii="Arial Black" w:hAnsi="Arial Black"/>
          <w:b/>
          <w:sz w:val="28"/>
          <w:szCs w:val="28"/>
        </w:rPr>
        <w:t>Date:</w:t>
      </w:r>
      <w:r w:rsidR="009C32B0" w:rsidRPr="00F646AB">
        <w:rPr>
          <w:rFonts w:ascii="Arial Black" w:hAnsi="Arial Black"/>
          <w:b/>
          <w:sz w:val="28"/>
          <w:szCs w:val="28"/>
        </w:rPr>
        <w:t xml:space="preserve"> </w:t>
      </w:r>
      <w:r w:rsidR="008E3AAE" w:rsidRPr="00F646AB">
        <w:rPr>
          <w:rFonts w:ascii="Arial Black" w:hAnsi="Arial Black"/>
          <w:b/>
          <w:sz w:val="28"/>
          <w:szCs w:val="28"/>
        </w:rPr>
        <w:t>09/06/23</w:t>
      </w:r>
    </w:p>
    <w:p w14:paraId="1B29BFF2" w14:textId="77777777" w:rsidR="00F646AB" w:rsidRDefault="00FF4BB9" w:rsidP="00F646AB">
      <w:pPr>
        <w:pStyle w:val="Heading3"/>
      </w:pPr>
      <w:r>
        <w:t>Mandatory Checks</w:t>
      </w:r>
    </w:p>
    <w:p w14:paraId="2A51B300" w14:textId="5EEF3DFB" w:rsidR="00FF4BB9" w:rsidRPr="00FF4BB9" w:rsidRDefault="00FF4BB9" w:rsidP="00F646AB">
      <w:pPr>
        <w:pStyle w:val="Heading3"/>
      </w:pPr>
      <w:r w:rsidRPr="00FF4BB9">
        <w:t xml:space="preserve">Ward Councillors notified:  NO, as it impacts on all Wards </w:t>
      </w:r>
    </w:p>
    <w:p w14:paraId="20A6539B" w14:textId="77777777" w:rsidR="007B066E" w:rsidRDefault="007B066E" w:rsidP="00FF4BB9">
      <w:pPr>
        <w:pStyle w:val="Heading2"/>
        <w:keepNext/>
      </w:pPr>
    </w:p>
    <w:p w14:paraId="6B556393" w14:textId="62C452B8" w:rsidR="00FF4BB9" w:rsidRDefault="00FF4BB9" w:rsidP="00FF4BB9">
      <w:pPr>
        <w:pStyle w:val="Heading2"/>
        <w:keepNext/>
      </w:pPr>
      <w:r>
        <w:t>Section 4 - Contact Details and Background Papers</w:t>
      </w:r>
    </w:p>
    <w:p w14:paraId="45D9F7F9" w14:textId="043E2DCE" w:rsidR="00FF4BB9" w:rsidRDefault="00FF4BB9" w:rsidP="00FF4BB9">
      <w:pPr>
        <w:pStyle w:val="Infotext"/>
      </w:pPr>
      <w:r w:rsidRPr="00D914D2">
        <w:rPr>
          <w:b/>
        </w:rPr>
        <w:t>Contact:</w:t>
      </w:r>
      <w:r>
        <w:t xml:space="preserve">  </w:t>
      </w:r>
      <w:proofErr w:type="spellStart"/>
      <w:r w:rsidR="00604600">
        <w:rPr>
          <w:rFonts w:cs="Arial"/>
          <w:sz w:val="24"/>
        </w:rPr>
        <w:t>Seb</w:t>
      </w:r>
      <w:proofErr w:type="spellEnd"/>
      <w:r w:rsidR="00604600">
        <w:rPr>
          <w:rFonts w:cs="Arial"/>
          <w:sz w:val="24"/>
        </w:rPr>
        <w:t xml:space="preserve"> Baugh</w:t>
      </w:r>
      <w:r w:rsidR="00F00A98">
        <w:rPr>
          <w:rFonts w:cs="Arial"/>
          <w:sz w:val="24"/>
        </w:rPr>
        <w:t>, Consultant in Public Health</w:t>
      </w:r>
      <w:r w:rsidR="00705AC9">
        <w:rPr>
          <w:rFonts w:cs="Arial"/>
          <w:sz w:val="24"/>
        </w:rPr>
        <w:t xml:space="preserve">, </w:t>
      </w:r>
      <w:hyperlink r:id="rId13" w:history="1">
        <w:r w:rsidR="00604600" w:rsidRPr="00872CB1">
          <w:rPr>
            <w:rStyle w:val="Hyperlink"/>
            <w:rFonts w:cs="Arial"/>
            <w:sz w:val="24"/>
          </w:rPr>
          <w:t>sebastien.baugh@harrow.gov.uk</w:t>
        </w:r>
      </w:hyperlink>
      <w:r w:rsidR="00604600">
        <w:rPr>
          <w:rFonts w:cs="Arial"/>
          <w:sz w:val="24"/>
        </w:rPr>
        <w:t xml:space="preserve"> </w:t>
      </w:r>
      <w:r w:rsidR="00705AC9">
        <w:rPr>
          <w:rFonts w:cs="Arial"/>
          <w:sz w:val="24"/>
        </w:rPr>
        <w:t xml:space="preserve"> </w:t>
      </w:r>
    </w:p>
    <w:p w14:paraId="560AED8A" w14:textId="1564E66C" w:rsidR="00FF4BB9" w:rsidRDefault="00FF4BB9" w:rsidP="00FF4BB9">
      <w:pPr>
        <w:pStyle w:val="Infotext"/>
        <w:spacing w:before="360"/>
      </w:pPr>
      <w:r w:rsidRPr="00D914D2">
        <w:rPr>
          <w:b/>
        </w:rPr>
        <w:t>Background Papers</w:t>
      </w:r>
      <w:r>
        <w:t xml:space="preserve">:  </w:t>
      </w:r>
      <w:r w:rsidR="00604600">
        <w:t>Harrow Health and Wellbeing Strategy</w:t>
      </w:r>
    </w:p>
    <w:p w14:paraId="7C47980D" w14:textId="77777777" w:rsidR="00FF4BB9" w:rsidRDefault="00FF4BB9" w:rsidP="00FF4BB9">
      <w:pPr>
        <w:pStyle w:val="Infotext"/>
        <w:spacing w:before="360" w:after="240"/>
      </w:pPr>
      <w:r>
        <w:t xml:space="preserve">If appropriate, does the report include the following considerations? </w:t>
      </w:r>
    </w:p>
    <w:p w14:paraId="61A13184" w14:textId="09ADF26D" w:rsidR="00FF4BB9" w:rsidRDefault="00FF4BB9" w:rsidP="00FF4BB9">
      <w:pPr>
        <w:pStyle w:val="Infotext"/>
        <w:tabs>
          <w:tab w:val="left" w:pos="656"/>
          <w:tab w:val="left" w:pos="6399"/>
        </w:tabs>
      </w:pPr>
      <w:r>
        <w:t>1.</w:t>
      </w:r>
      <w:r>
        <w:tab/>
        <w:t xml:space="preserve">Consultation </w:t>
      </w:r>
      <w:r>
        <w:tab/>
      </w:r>
      <w:r w:rsidR="0091131D">
        <w:t>NO</w:t>
      </w:r>
    </w:p>
    <w:p w14:paraId="467E1CE0" w14:textId="5812075B" w:rsidR="0091131D" w:rsidRDefault="0091131D" w:rsidP="0091131D">
      <w:pPr>
        <w:pStyle w:val="Infotext"/>
        <w:tabs>
          <w:tab w:val="left" w:pos="656"/>
          <w:tab w:val="left" w:pos="6399"/>
        </w:tabs>
      </w:pPr>
      <w:r>
        <w:t>2.</w:t>
      </w:r>
      <w:r>
        <w:tab/>
        <w:t>Priorities</w:t>
      </w:r>
      <w:r>
        <w:tab/>
        <w:t>NO</w:t>
      </w:r>
    </w:p>
    <w:p w14:paraId="0A1A8035"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D091" w14:textId="77777777" w:rsidR="009E7BC2" w:rsidRDefault="009E7BC2">
      <w:r>
        <w:separator/>
      </w:r>
    </w:p>
  </w:endnote>
  <w:endnote w:type="continuationSeparator" w:id="0">
    <w:p w14:paraId="4D7FBADB" w14:textId="77777777" w:rsidR="009E7BC2" w:rsidRDefault="009E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Basic Sans Regular">
    <w:altName w:val="Basic Sans Regular"/>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8B57" w14:textId="77777777" w:rsidR="009E7BC2" w:rsidRDefault="009E7BC2">
      <w:r>
        <w:separator/>
      </w:r>
    </w:p>
  </w:footnote>
  <w:footnote w:type="continuationSeparator" w:id="0">
    <w:p w14:paraId="095E42CA" w14:textId="77777777" w:rsidR="009E7BC2" w:rsidRDefault="009E7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6F0"/>
    <w:multiLevelType w:val="hybridMultilevel"/>
    <w:tmpl w:val="71A4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2485B"/>
    <w:multiLevelType w:val="hybridMultilevel"/>
    <w:tmpl w:val="2C16AA4C"/>
    <w:lvl w:ilvl="0" w:tplc="1EF2B4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64114"/>
    <w:multiLevelType w:val="hybridMultilevel"/>
    <w:tmpl w:val="A3E0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42AF2"/>
    <w:multiLevelType w:val="hybridMultilevel"/>
    <w:tmpl w:val="A6A0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A417B"/>
    <w:multiLevelType w:val="multilevel"/>
    <w:tmpl w:val="84A8BC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C05985"/>
    <w:multiLevelType w:val="hybridMultilevel"/>
    <w:tmpl w:val="0E1A3C18"/>
    <w:lvl w:ilvl="0" w:tplc="5C36DF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F3446"/>
    <w:multiLevelType w:val="hybridMultilevel"/>
    <w:tmpl w:val="5AA4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E30E6"/>
    <w:multiLevelType w:val="hybridMultilevel"/>
    <w:tmpl w:val="4E90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F1E05"/>
    <w:multiLevelType w:val="hybridMultilevel"/>
    <w:tmpl w:val="CCAE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74401"/>
    <w:multiLevelType w:val="hybridMultilevel"/>
    <w:tmpl w:val="36EA339C"/>
    <w:lvl w:ilvl="0" w:tplc="612C2B5C">
      <w:start w:val="1"/>
      <w:numFmt w:val="bullet"/>
      <w:lvlText w:val="•"/>
      <w:lvlJc w:val="left"/>
      <w:pPr>
        <w:tabs>
          <w:tab w:val="num" w:pos="720"/>
        </w:tabs>
        <w:ind w:left="720" w:hanging="360"/>
      </w:pPr>
      <w:rPr>
        <w:rFonts w:ascii="Times New Roman" w:hAnsi="Times New Roman" w:hint="default"/>
      </w:rPr>
    </w:lvl>
    <w:lvl w:ilvl="1" w:tplc="E954F570">
      <w:numFmt w:val="bullet"/>
      <w:lvlText w:val="•"/>
      <w:lvlJc w:val="left"/>
      <w:pPr>
        <w:tabs>
          <w:tab w:val="num" w:pos="1440"/>
        </w:tabs>
        <w:ind w:left="1440" w:hanging="360"/>
      </w:pPr>
      <w:rPr>
        <w:rFonts w:ascii="Times New Roman" w:hAnsi="Times New Roman" w:hint="default"/>
      </w:rPr>
    </w:lvl>
    <w:lvl w:ilvl="2" w:tplc="5F186EA0" w:tentative="1">
      <w:start w:val="1"/>
      <w:numFmt w:val="bullet"/>
      <w:lvlText w:val="•"/>
      <w:lvlJc w:val="left"/>
      <w:pPr>
        <w:tabs>
          <w:tab w:val="num" w:pos="2160"/>
        </w:tabs>
        <w:ind w:left="2160" w:hanging="360"/>
      </w:pPr>
      <w:rPr>
        <w:rFonts w:ascii="Times New Roman" w:hAnsi="Times New Roman" w:hint="default"/>
      </w:rPr>
    </w:lvl>
    <w:lvl w:ilvl="3" w:tplc="76A4F8EC" w:tentative="1">
      <w:start w:val="1"/>
      <w:numFmt w:val="bullet"/>
      <w:lvlText w:val="•"/>
      <w:lvlJc w:val="left"/>
      <w:pPr>
        <w:tabs>
          <w:tab w:val="num" w:pos="2880"/>
        </w:tabs>
        <w:ind w:left="2880" w:hanging="360"/>
      </w:pPr>
      <w:rPr>
        <w:rFonts w:ascii="Times New Roman" w:hAnsi="Times New Roman" w:hint="default"/>
      </w:rPr>
    </w:lvl>
    <w:lvl w:ilvl="4" w:tplc="315AB81A" w:tentative="1">
      <w:start w:val="1"/>
      <w:numFmt w:val="bullet"/>
      <w:lvlText w:val="•"/>
      <w:lvlJc w:val="left"/>
      <w:pPr>
        <w:tabs>
          <w:tab w:val="num" w:pos="3600"/>
        </w:tabs>
        <w:ind w:left="3600" w:hanging="360"/>
      </w:pPr>
      <w:rPr>
        <w:rFonts w:ascii="Times New Roman" w:hAnsi="Times New Roman" w:hint="default"/>
      </w:rPr>
    </w:lvl>
    <w:lvl w:ilvl="5" w:tplc="63A427B4" w:tentative="1">
      <w:start w:val="1"/>
      <w:numFmt w:val="bullet"/>
      <w:lvlText w:val="•"/>
      <w:lvlJc w:val="left"/>
      <w:pPr>
        <w:tabs>
          <w:tab w:val="num" w:pos="4320"/>
        </w:tabs>
        <w:ind w:left="4320" w:hanging="360"/>
      </w:pPr>
      <w:rPr>
        <w:rFonts w:ascii="Times New Roman" w:hAnsi="Times New Roman" w:hint="default"/>
      </w:rPr>
    </w:lvl>
    <w:lvl w:ilvl="6" w:tplc="9AE489B2" w:tentative="1">
      <w:start w:val="1"/>
      <w:numFmt w:val="bullet"/>
      <w:lvlText w:val="•"/>
      <w:lvlJc w:val="left"/>
      <w:pPr>
        <w:tabs>
          <w:tab w:val="num" w:pos="5040"/>
        </w:tabs>
        <w:ind w:left="5040" w:hanging="360"/>
      </w:pPr>
      <w:rPr>
        <w:rFonts w:ascii="Times New Roman" w:hAnsi="Times New Roman" w:hint="default"/>
      </w:rPr>
    </w:lvl>
    <w:lvl w:ilvl="7" w:tplc="EAFED814" w:tentative="1">
      <w:start w:val="1"/>
      <w:numFmt w:val="bullet"/>
      <w:lvlText w:val="•"/>
      <w:lvlJc w:val="left"/>
      <w:pPr>
        <w:tabs>
          <w:tab w:val="num" w:pos="5760"/>
        </w:tabs>
        <w:ind w:left="5760" w:hanging="360"/>
      </w:pPr>
      <w:rPr>
        <w:rFonts w:ascii="Times New Roman" w:hAnsi="Times New Roman" w:hint="default"/>
      </w:rPr>
    </w:lvl>
    <w:lvl w:ilvl="8" w:tplc="38A4369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36C023E"/>
    <w:multiLevelType w:val="hybridMultilevel"/>
    <w:tmpl w:val="6E8A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6B39B6"/>
    <w:multiLevelType w:val="hybridMultilevel"/>
    <w:tmpl w:val="71A64B18"/>
    <w:lvl w:ilvl="0" w:tplc="1EF2B4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3659D0"/>
    <w:multiLevelType w:val="hybridMultilevel"/>
    <w:tmpl w:val="131BCE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6965EFF"/>
    <w:multiLevelType w:val="hybridMultilevel"/>
    <w:tmpl w:val="4142E130"/>
    <w:lvl w:ilvl="0" w:tplc="5C36DF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6372AD"/>
    <w:multiLevelType w:val="hybridMultilevel"/>
    <w:tmpl w:val="5A38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00440"/>
    <w:multiLevelType w:val="hybridMultilevel"/>
    <w:tmpl w:val="80D4A9CE"/>
    <w:lvl w:ilvl="0" w:tplc="C93E04A6">
      <w:start w:val="1"/>
      <w:numFmt w:val="bullet"/>
      <w:lvlText w:val="●"/>
      <w:lvlJc w:val="left"/>
      <w:pPr>
        <w:tabs>
          <w:tab w:val="num" w:pos="720"/>
        </w:tabs>
        <w:ind w:left="720" w:hanging="360"/>
      </w:pPr>
      <w:rPr>
        <w:rFonts w:ascii="Arial" w:hAnsi="Arial" w:hint="default"/>
      </w:rPr>
    </w:lvl>
    <w:lvl w:ilvl="1" w:tplc="BE544E46">
      <w:numFmt w:val="bullet"/>
      <w:lvlText w:val="–"/>
      <w:lvlJc w:val="left"/>
      <w:pPr>
        <w:tabs>
          <w:tab w:val="num" w:pos="1440"/>
        </w:tabs>
        <w:ind w:left="1440" w:hanging="360"/>
      </w:pPr>
      <w:rPr>
        <w:rFonts w:ascii="Times New Roman" w:hAnsi="Times New Roman" w:hint="default"/>
      </w:rPr>
    </w:lvl>
    <w:lvl w:ilvl="2" w:tplc="5F2A3232" w:tentative="1">
      <w:start w:val="1"/>
      <w:numFmt w:val="bullet"/>
      <w:lvlText w:val="●"/>
      <w:lvlJc w:val="left"/>
      <w:pPr>
        <w:tabs>
          <w:tab w:val="num" w:pos="2160"/>
        </w:tabs>
        <w:ind w:left="2160" w:hanging="360"/>
      </w:pPr>
      <w:rPr>
        <w:rFonts w:ascii="Arial" w:hAnsi="Arial" w:hint="default"/>
      </w:rPr>
    </w:lvl>
    <w:lvl w:ilvl="3" w:tplc="0A26D3A2" w:tentative="1">
      <w:start w:val="1"/>
      <w:numFmt w:val="bullet"/>
      <w:lvlText w:val="●"/>
      <w:lvlJc w:val="left"/>
      <w:pPr>
        <w:tabs>
          <w:tab w:val="num" w:pos="2880"/>
        </w:tabs>
        <w:ind w:left="2880" w:hanging="360"/>
      </w:pPr>
      <w:rPr>
        <w:rFonts w:ascii="Arial" w:hAnsi="Arial" w:hint="default"/>
      </w:rPr>
    </w:lvl>
    <w:lvl w:ilvl="4" w:tplc="9064F218" w:tentative="1">
      <w:start w:val="1"/>
      <w:numFmt w:val="bullet"/>
      <w:lvlText w:val="●"/>
      <w:lvlJc w:val="left"/>
      <w:pPr>
        <w:tabs>
          <w:tab w:val="num" w:pos="3600"/>
        </w:tabs>
        <w:ind w:left="3600" w:hanging="360"/>
      </w:pPr>
      <w:rPr>
        <w:rFonts w:ascii="Arial" w:hAnsi="Arial" w:hint="default"/>
      </w:rPr>
    </w:lvl>
    <w:lvl w:ilvl="5" w:tplc="250EFBCA" w:tentative="1">
      <w:start w:val="1"/>
      <w:numFmt w:val="bullet"/>
      <w:lvlText w:val="●"/>
      <w:lvlJc w:val="left"/>
      <w:pPr>
        <w:tabs>
          <w:tab w:val="num" w:pos="4320"/>
        </w:tabs>
        <w:ind w:left="4320" w:hanging="360"/>
      </w:pPr>
      <w:rPr>
        <w:rFonts w:ascii="Arial" w:hAnsi="Arial" w:hint="default"/>
      </w:rPr>
    </w:lvl>
    <w:lvl w:ilvl="6" w:tplc="0726B8B6" w:tentative="1">
      <w:start w:val="1"/>
      <w:numFmt w:val="bullet"/>
      <w:lvlText w:val="●"/>
      <w:lvlJc w:val="left"/>
      <w:pPr>
        <w:tabs>
          <w:tab w:val="num" w:pos="5040"/>
        </w:tabs>
        <w:ind w:left="5040" w:hanging="360"/>
      </w:pPr>
      <w:rPr>
        <w:rFonts w:ascii="Arial" w:hAnsi="Arial" w:hint="default"/>
      </w:rPr>
    </w:lvl>
    <w:lvl w:ilvl="7" w:tplc="D1D8F612" w:tentative="1">
      <w:start w:val="1"/>
      <w:numFmt w:val="bullet"/>
      <w:lvlText w:val="●"/>
      <w:lvlJc w:val="left"/>
      <w:pPr>
        <w:tabs>
          <w:tab w:val="num" w:pos="5760"/>
        </w:tabs>
        <w:ind w:left="5760" w:hanging="360"/>
      </w:pPr>
      <w:rPr>
        <w:rFonts w:ascii="Arial" w:hAnsi="Arial" w:hint="default"/>
      </w:rPr>
    </w:lvl>
    <w:lvl w:ilvl="8" w:tplc="9BFA410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15:restartNumberingAfterBreak="0">
    <w:nsid w:val="3FAC70BC"/>
    <w:multiLevelType w:val="hybridMultilevel"/>
    <w:tmpl w:val="40A6AD42"/>
    <w:lvl w:ilvl="0" w:tplc="5C36DF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87A5C"/>
    <w:multiLevelType w:val="hybridMultilevel"/>
    <w:tmpl w:val="101E9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FB47C8"/>
    <w:multiLevelType w:val="hybridMultilevel"/>
    <w:tmpl w:val="15BACB72"/>
    <w:lvl w:ilvl="0" w:tplc="5C36DF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F66C6A"/>
    <w:multiLevelType w:val="hybridMultilevel"/>
    <w:tmpl w:val="C31C835E"/>
    <w:lvl w:ilvl="0" w:tplc="1EF2B4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463FD0"/>
    <w:multiLevelType w:val="hybridMultilevel"/>
    <w:tmpl w:val="88F6AC44"/>
    <w:lvl w:ilvl="0" w:tplc="1EF2B4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2F0159"/>
    <w:multiLevelType w:val="hybridMultilevel"/>
    <w:tmpl w:val="D8364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304B58"/>
    <w:multiLevelType w:val="hybridMultilevel"/>
    <w:tmpl w:val="48C87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845FDC"/>
    <w:multiLevelType w:val="hybridMultilevel"/>
    <w:tmpl w:val="F0C44FDE"/>
    <w:lvl w:ilvl="0" w:tplc="1EF2B4D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A25052"/>
    <w:multiLevelType w:val="hybridMultilevel"/>
    <w:tmpl w:val="B2F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037986"/>
    <w:multiLevelType w:val="hybridMultilevel"/>
    <w:tmpl w:val="F0C43EB8"/>
    <w:lvl w:ilvl="0" w:tplc="7EFAB0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0D2457"/>
    <w:multiLevelType w:val="hybridMultilevel"/>
    <w:tmpl w:val="8B5AA5FA"/>
    <w:lvl w:ilvl="0" w:tplc="5C36DF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F82BAF"/>
    <w:multiLevelType w:val="hybridMultilevel"/>
    <w:tmpl w:val="52F889BC"/>
    <w:lvl w:ilvl="0" w:tplc="668A1D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EB3168"/>
    <w:multiLevelType w:val="hybridMultilevel"/>
    <w:tmpl w:val="211A2A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CE66BF"/>
    <w:multiLevelType w:val="hybridMultilevel"/>
    <w:tmpl w:val="F43AF5E0"/>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3" w15:restartNumberingAfterBreak="0">
    <w:nsid w:val="7E060E3F"/>
    <w:multiLevelType w:val="hybridMultilevel"/>
    <w:tmpl w:val="7AC8D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11458">
    <w:abstractNumId w:val="34"/>
  </w:num>
  <w:num w:numId="2" w16cid:durableId="1466704178">
    <w:abstractNumId w:val="26"/>
  </w:num>
  <w:num w:numId="3" w16cid:durableId="894505398">
    <w:abstractNumId w:val="33"/>
  </w:num>
  <w:num w:numId="4" w16cid:durableId="1850413730">
    <w:abstractNumId w:val="2"/>
  </w:num>
  <w:num w:numId="5" w16cid:durableId="20228550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943337">
    <w:abstractNumId w:val="16"/>
  </w:num>
  <w:num w:numId="7" w16cid:durableId="718482622">
    <w:abstractNumId w:val="22"/>
  </w:num>
  <w:num w:numId="8" w16cid:durableId="967585084">
    <w:abstractNumId w:val="7"/>
  </w:num>
  <w:num w:numId="9" w16cid:durableId="1386442434">
    <w:abstractNumId w:val="31"/>
  </w:num>
  <w:num w:numId="10" w16cid:durableId="1427655609">
    <w:abstractNumId w:val="44"/>
  </w:num>
  <w:num w:numId="11" w16cid:durableId="1518620379">
    <w:abstractNumId w:val="29"/>
  </w:num>
  <w:num w:numId="12" w16cid:durableId="475877761">
    <w:abstractNumId w:val="5"/>
  </w:num>
  <w:num w:numId="13" w16cid:durableId="1659964451">
    <w:abstractNumId w:val="10"/>
  </w:num>
  <w:num w:numId="14" w16cid:durableId="771050191">
    <w:abstractNumId w:val="25"/>
  </w:num>
  <w:num w:numId="15" w16cid:durableId="215895901">
    <w:abstractNumId w:val="1"/>
  </w:num>
  <w:num w:numId="16" w16cid:durableId="1969244159">
    <w:abstractNumId w:val="20"/>
  </w:num>
  <w:num w:numId="17" w16cid:durableId="1308169213">
    <w:abstractNumId w:val="36"/>
  </w:num>
  <w:num w:numId="18" w16cid:durableId="1310671255">
    <w:abstractNumId w:val="28"/>
  </w:num>
  <w:num w:numId="19" w16cid:durableId="1546141789">
    <w:abstractNumId w:val="3"/>
  </w:num>
  <w:num w:numId="20" w16cid:durableId="127625566">
    <w:abstractNumId w:val="17"/>
  </w:num>
  <w:num w:numId="21" w16cid:durableId="716244628">
    <w:abstractNumId w:val="24"/>
  </w:num>
  <w:num w:numId="22" w16cid:durableId="1800688505">
    <w:abstractNumId w:val="18"/>
  </w:num>
  <w:num w:numId="23" w16cid:durableId="1763792095">
    <w:abstractNumId w:val="30"/>
  </w:num>
  <w:num w:numId="24" w16cid:durableId="1770196722">
    <w:abstractNumId w:val="40"/>
  </w:num>
  <w:num w:numId="25" w16cid:durableId="2002653575">
    <w:abstractNumId w:val="23"/>
  </w:num>
  <w:num w:numId="26" w16cid:durableId="1135177076">
    <w:abstractNumId w:val="19"/>
  </w:num>
  <w:num w:numId="27" w16cid:durableId="1276253806">
    <w:abstractNumId w:val="27"/>
  </w:num>
  <w:num w:numId="28" w16cid:durableId="1020473087">
    <w:abstractNumId w:val="39"/>
  </w:num>
  <w:num w:numId="29" w16cid:durableId="1888881695">
    <w:abstractNumId w:val="9"/>
  </w:num>
  <w:num w:numId="30" w16cid:durableId="1620599033">
    <w:abstractNumId w:val="41"/>
  </w:num>
  <w:num w:numId="31" w16cid:durableId="1866406907">
    <w:abstractNumId w:val="8"/>
  </w:num>
  <w:num w:numId="32" w16cid:durableId="1201553946">
    <w:abstractNumId w:val="38"/>
  </w:num>
  <w:num w:numId="33" w16cid:durableId="180751629">
    <w:abstractNumId w:val="43"/>
  </w:num>
  <w:num w:numId="34" w16cid:durableId="2122600485">
    <w:abstractNumId w:val="32"/>
  </w:num>
  <w:num w:numId="35" w16cid:durableId="1656762705">
    <w:abstractNumId w:val="13"/>
  </w:num>
  <w:num w:numId="36" w16cid:durableId="75172764">
    <w:abstractNumId w:val="6"/>
  </w:num>
  <w:num w:numId="37" w16cid:durableId="1877037100">
    <w:abstractNumId w:val="15"/>
  </w:num>
  <w:num w:numId="38" w16cid:durableId="1015963485">
    <w:abstractNumId w:val="37"/>
  </w:num>
  <w:num w:numId="39" w16cid:durableId="1959793415">
    <w:abstractNumId w:val="21"/>
  </w:num>
  <w:num w:numId="40" w16cid:durableId="1299801786">
    <w:abstractNumId w:val="11"/>
  </w:num>
  <w:num w:numId="41" w16cid:durableId="1357732202">
    <w:abstractNumId w:val="42"/>
  </w:num>
  <w:num w:numId="42" w16cid:durableId="1950353254">
    <w:abstractNumId w:val="14"/>
  </w:num>
  <w:num w:numId="43" w16cid:durableId="1908804015">
    <w:abstractNumId w:val="12"/>
  </w:num>
  <w:num w:numId="44" w16cid:durableId="1464689216">
    <w:abstractNumId w:val="0"/>
  </w:num>
  <w:num w:numId="45" w16cid:durableId="1034770464">
    <w:abstractNumId w:val="4"/>
  </w:num>
  <w:num w:numId="46" w16cid:durableId="107959962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3D93"/>
    <w:rsid w:val="000050E6"/>
    <w:rsid w:val="000100EC"/>
    <w:rsid w:val="00011005"/>
    <w:rsid w:val="000110EA"/>
    <w:rsid w:val="00020C32"/>
    <w:rsid w:val="000227A6"/>
    <w:rsid w:val="000366EB"/>
    <w:rsid w:val="00042659"/>
    <w:rsid w:val="00057F10"/>
    <w:rsid w:val="000705F9"/>
    <w:rsid w:val="00071EB4"/>
    <w:rsid w:val="00074461"/>
    <w:rsid w:val="00077298"/>
    <w:rsid w:val="000774B0"/>
    <w:rsid w:val="00080819"/>
    <w:rsid w:val="000901AD"/>
    <w:rsid w:val="00092B37"/>
    <w:rsid w:val="000A120B"/>
    <w:rsid w:val="000A1238"/>
    <w:rsid w:val="000A65E3"/>
    <w:rsid w:val="000A65FD"/>
    <w:rsid w:val="000B6DBB"/>
    <w:rsid w:val="000C5171"/>
    <w:rsid w:val="000D0D92"/>
    <w:rsid w:val="000D2BF2"/>
    <w:rsid w:val="000D62A2"/>
    <w:rsid w:val="000E7AF8"/>
    <w:rsid w:val="000F312B"/>
    <w:rsid w:val="000F65C0"/>
    <w:rsid w:val="00101E01"/>
    <w:rsid w:val="00115A4D"/>
    <w:rsid w:val="00117D47"/>
    <w:rsid w:val="00122491"/>
    <w:rsid w:val="00123472"/>
    <w:rsid w:val="001352B9"/>
    <w:rsid w:val="0014087F"/>
    <w:rsid w:val="001417FD"/>
    <w:rsid w:val="0014658E"/>
    <w:rsid w:val="0016671E"/>
    <w:rsid w:val="0018279C"/>
    <w:rsid w:val="001864D8"/>
    <w:rsid w:val="001939BA"/>
    <w:rsid w:val="001976BF"/>
    <w:rsid w:val="001B1BF9"/>
    <w:rsid w:val="001C5225"/>
    <w:rsid w:val="001E0219"/>
    <w:rsid w:val="001E0983"/>
    <w:rsid w:val="001E6EC6"/>
    <w:rsid w:val="001E7655"/>
    <w:rsid w:val="001F341E"/>
    <w:rsid w:val="0020083E"/>
    <w:rsid w:val="00221E69"/>
    <w:rsid w:val="00222F23"/>
    <w:rsid w:val="00225D8A"/>
    <w:rsid w:val="00231A1D"/>
    <w:rsid w:val="00235217"/>
    <w:rsid w:val="002415CE"/>
    <w:rsid w:val="00244D06"/>
    <w:rsid w:val="00246925"/>
    <w:rsid w:val="00253ED8"/>
    <w:rsid w:val="00273A8C"/>
    <w:rsid w:val="00273F23"/>
    <w:rsid w:val="002740C2"/>
    <w:rsid w:val="00274375"/>
    <w:rsid w:val="00296F20"/>
    <w:rsid w:val="002A0BD9"/>
    <w:rsid w:val="002A2389"/>
    <w:rsid w:val="002A7E6E"/>
    <w:rsid w:val="002C08E2"/>
    <w:rsid w:val="002C0C7A"/>
    <w:rsid w:val="002C1794"/>
    <w:rsid w:val="002C1D70"/>
    <w:rsid w:val="002C51CB"/>
    <w:rsid w:val="002C6E40"/>
    <w:rsid w:val="002D3D1F"/>
    <w:rsid w:val="002D4517"/>
    <w:rsid w:val="002E77E3"/>
    <w:rsid w:val="00307ADE"/>
    <w:rsid w:val="00311543"/>
    <w:rsid w:val="003115B3"/>
    <w:rsid w:val="00313693"/>
    <w:rsid w:val="0032025F"/>
    <w:rsid w:val="00335EB8"/>
    <w:rsid w:val="0034193A"/>
    <w:rsid w:val="0034544F"/>
    <w:rsid w:val="003460BC"/>
    <w:rsid w:val="00350C95"/>
    <w:rsid w:val="00350F15"/>
    <w:rsid w:val="003772A0"/>
    <w:rsid w:val="00377DCF"/>
    <w:rsid w:val="003913D9"/>
    <w:rsid w:val="00393A60"/>
    <w:rsid w:val="00394E96"/>
    <w:rsid w:val="003A044A"/>
    <w:rsid w:val="003A1E66"/>
    <w:rsid w:val="003A787D"/>
    <w:rsid w:val="003B02F9"/>
    <w:rsid w:val="003B6B15"/>
    <w:rsid w:val="003C0B16"/>
    <w:rsid w:val="003C1A4E"/>
    <w:rsid w:val="003C548B"/>
    <w:rsid w:val="003C6988"/>
    <w:rsid w:val="003C74FB"/>
    <w:rsid w:val="003D5F26"/>
    <w:rsid w:val="003D6C9A"/>
    <w:rsid w:val="003F47C5"/>
    <w:rsid w:val="00411A24"/>
    <w:rsid w:val="004213D7"/>
    <w:rsid w:val="00423334"/>
    <w:rsid w:val="0042394B"/>
    <w:rsid w:val="00425D00"/>
    <w:rsid w:val="00426604"/>
    <w:rsid w:val="004305E3"/>
    <w:rsid w:val="004343D6"/>
    <w:rsid w:val="00440F0E"/>
    <w:rsid w:val="00457044"/>
    <w:rsid w:val="00462D98"/>
    <w:rsid w:val="00467163"/>
    <w:rsid w:val="00473B08"/>
    <w:rsid w:val="00474B5F"/>
    <w:rsid w:val="00485470"/>
    <w:rsid w:val="004854BB"/>
    <w:rsid w:val="004936F7"/>
    <w:rsid w:val="00497A25"/>
    <w:rsid w:val="004A287D"/>
    <w:rsid w:val="004A44A0"/>
    <w:rsid w:val="004A5D00"/>
    <w:rsid w:val="004B2C9D"/>
    <w:rsid w:val="004B6536"/>
    <w:rsid w:val="004B7367"/>
    <w:rsid w:val="004C044A"/>
    <w:rsid w:val="004C2D29"/>
    <w:rsid w:val="004C6CA8"/>
    <w:rsid w:val="004C76AB"/>
    <w:rsid w:val="004D33D6"/>
    <w:rsid w:val="004D5D86"/>
    <w:rsid w:val="004E00B1"/>
    <w:rsid w:val="004E2B40"/>
    <w:rsid w:val="004E634C"/>
    <w:rsid w:val="004E667D"/>
    <w:rsid w:val="004E6AF9"/>
    <w:rsid w:val="004F025E"/>
    <w:rsid w:val="004F6E32"/>
    <w:rsid w:val="004F7E40"/>
    <w:rsid w:val="004F7F29"/>
    <w:rsid w:val="0050580E"/>
    <w:rsid w:val="00510E9A"/>
    <w:rsid w:val="00513FB9"/>
    <w:rsid w:val="005142C4"/>
    <w:rsid w:val="00515324"/>
    <w:rsid w:val="00516461"/>
    <w:rsid w:val="00516C7C"/>
    <w:rsid w:val="00520913"/>
    <w:rsid w:val="0052223F"/>
    <w:rsid w:val="00523BF5"/>
    <w:rsid w:val="005253F2"/>
    <w:rsid w:val="00530D4A"/>
    <w:rsid w:val="00543DF8"/>
    <w:rsid w:val="00554D43"/>
    <w:rsid w:val="005649B4"/>
    <w:rsid w:val="005677DC"/>
    <w:rsid w:val="00581685"/>
    <w:rsid w:val="005861B4"/>
    <w:rsid w:val="005874F0"/>
    <w:rsid w:val="005918F3"/>
    <w:rsid w:val="005B445A"/>
    <w:rsid w:val="005D35AD"/>
    <w:rsid w:val="005D4ADF"/>
    <w:rsid w:val="005D791F"/>
    <w:rsid w:val="005E384D"/>
    <w:rsid w:val="005E570E"/>
    <w:rsid w:val="005F2181"/>
    <w:rsid w:val="005F724B"/>
    <w:rsid w:val="00604600"/>
    <w:rsid w:val="0061116A"/>
    <w:rsid w:val="00613A76"/>
    <w:rsid w:val="00627B02"/>
    <w:rsid w:val="0063072B"/>
    <w:rsid w:val="00631BE4"/>
    <w:rsid w:val="00642757"/>
    <w:rsid w:val="00642D42"/>
    <w:rsid w:val="006465F6"/>
    <w:rsid w:val="00650BE7"/>
    <w:rsid w:val="006510AA"/>
    <w:rsid w:val="00655767"/>
    <w:rsid w:val="00657FD1"/>
    <w:rsid w:val="00661686"/>
    <w:rsid w:val="00662891"/>
    <w:rsid w:val="00664901"/>
    <w:rsid w:val="00664E87"/>
    <w:rsid w:val="0066577B"/>
    <w:rsid w:val="00666650"/>
    <w:rsid w:val="00673F37"/>
    <w:rsid w:val="00675FCB"/>
    <w:rsid w:val="00676FBF"/>
    <w:rsid w:val="006972D6"/>
    <w:rsid w:val="006B5510"/>
    <w:rsid w:val="006C2179"/>
    <w:rsid w:val="006C3914"/>
    <w:rsid w:val="006C627C"/>
    <w:rsid w:val="006D0EC3"/>
    <w:rsid w:val="006D1397"/>
    <w:rsid w:val="006D18D1"/>
    <w:rsid w:val="006D2C51"/>
    <w:rsid w:val="006E3B61"/>
    <w:rsid w:val="006E4B0E"/>
    <w:rsid w:val="006F1D8D"/>
    <w:rsid w:val="00705AC9"/>
    <w:rsid w:val="0070794D"/>
    <w:rsid w:val="007219C8"/>
    <w:rsid w:val="007333DA"/>
    <w:rsid w:val="0073610B"/>
    <w:rsid w:val="0074184E"/>
    <w:rsid w:val="007433A0"/>
    <w:rsid w:val="007435E3"/>
    <w:rsid w:val="00744BC5"/>
    <w:rsid w:val="00755F8D"/>
    <w:rsid w:val="00774ACB"/>
    <w:rsid w:val="00794B02"/>
    <w:rsid w:val="007960D4"/>
    <w:rsid w:val="00796503"/>
    <w:rsid w:val="007978FF"/>
    <w:rsid w:val="007A4157"/>
    <w:rsid w:val="007A6542"/>
    <w:rsid w:val="007B066E"/>
    <w:rsid w:val="007B2F0D"/>
    <w:rsid w:val="007B3DA1"/>
    <w:rsid w:val="007C24EA"/>
    <w:rsid w:val="007D23C4"/>
    <w:rsid w:val="007D56C8"/>
    <w:rsid w:val="007E7303"/>
    <w:rsid w:val="007F350C"/>
    <w:rsid w:val="007F7B2F"/>
    <w:rsid w:val="00803162"/>
    <w:rsid w:val="00807D74"/>
    <w:rsid w:val="0081137B"/>
    <w:rsid w:val="008136B1"/>
    <w:rsid w:val="008275FE"/>
    <w:rsid w:val="00842443"/>
    <w:rsid w:val="00842FE1"/>
    <w:rsid w:val="0084392C"/>
    <w:rsid w:val="00854D98"/>
    <w:rsid w:val="00855DAE"/>
    <w:rsid w:val="00873FD8"/>
    <w:rsid w:val="00874169"/>
    <w:rsid w:val="00882C2E"/>
    <w:rsid w:val="00890808"/>
    <w:rsid w:val="00890CB6"/>
    <w:rsid w:val="008A0E0F"/>
    <w:rsid w:val="008A7480"/>
    <w:rsid w:val="008C6461"/>
    <w:rsid w:val="008C747A"/>
    <w:rsid w:val="008C7E9F"/>
    <w:rsid w:val="008D1750"/>
    <w:rsid w:val="008D2F7F"/>
    <w:rsid w:val="008D4C1E"/>
    <w:rsid w:val="008D4F85"/>
    <w:rsid w:val="008E301A"/>
    <w:rsid w:val="008E3AAE"/>
    <w:rsid w:val="008E4913"/>
    <w:rsid w:val="008E4955"/>
    <w:rsid w:val="008F4594"/>
    <w:rsid w:val="008F4DCD"/>
    <w:rsid w:val="00900464"/>
    <w:rsid w:val="0090100E"/>
    <w:rsid w:val="00903F4F"/>
    <w:rsid w:val="0091131D"/>
    <w:rsid w:val="009211A4"/>
    <w:rsid w:val="00921CB0"/>
    <w:rsid w:val="0092323A"/>
    <w:rsid w:val="009234AA"/>
    <w:rsid w:val="00923DAF"/>
    <w:rsid w:val="0093275D"/>
    <w:rsid w:val="00932A33"/>
    <w:rsid w:val="0093767E"/>
    <w:rsid w:val="0095602F"/>
    <w:rsid w:val="00970A16"/>
    <w:rsid w:val="00971D17"/>
    <w:rsid w:val="00972A02"/>
    <w:rsid w:val="00975576"/>
    <w:rsid w:val="00982F01"/>
    <w:rsid w:val="009855A6"/>
    <w:rsid w:val="00994AF6"/>
    <w:rsid w:val="0099517C"/>
    <w:rsid w:val="009A3B46"/>
    <w:rsid w:val="009B2ECD"/>
    <w:rsid w:val="009B4289"/>
    <w:rsid w:val="009B6FD7"/>
    <w:rsid w:val="009B75CF"/>
    <w:rsid w:val="009B7914"/>
    <w:rsid w:val="009C128A"/>
    <w:rsid w:val="009C32B0"/>
    <w:rsid w:val="009D619A"/>
    <w:rsid w:val="009D75B7"/>
    <w:rsid w:val="009E4285"/>
    <w:rsid w:val="009E7BC2"/>
    <w:rsid w:val="009F0ADF"/>
    <w:rsid w:val="009F1CC0"/>
    <w:rsid w:val="00A0718B"/>
    <w:rsid w:val="00A233AE"/>
    <w:rsid w:val="00A25269"/>
    <w:rsid w:val="00A27CEF"/>
    <w:rsid w:val="00A3064E"/>
    <w:rsid w:val="00A32305"/>
    <w:rsid w:val="00A345F1"/>
    <w:rsid w:val="00A34D02"/>
    <w:rsid w:val="00A46E0A"/>
    <w:rsid w:val="00A47BAE"/>
    <w:rsid w:val="00A50388"/>
    <w:rsid w:val="00A51FAE"/>
    <w:rsid w:val="00A52769"/>
    <w:rsid w:val="00A566E7"/>
    <w:rsid w:val="00A56760"/>
    <w:rsid w:val="00A613C1"/>
    <w:rsid w:val="00A64500"/>
    <w:rsid w:val="00A70FAB"/>
    <w:rsid w:val="00A71655"/>
    <w:rsid w:val="00A75CB1"/>
    <w:rsid w:val="00A76A21"/>
    <w:rsid w:val="00A86CB5"/>
    <w:rsid w:val="00A92139"/>
    <w:rsid w:val="00A940D3"/>
    <w:rsid w:val="00A942B5"/>
    <w:rsid w:val="00A96FCA"/>
    <w:rsid w:val="00AA0246"/>
    <w:rsid w:val="00AA39FA"/>
    <w:rsid w:val="00AA4BE8"/>
    <w:rsid w:val="00AA5D1C"/>
    <w:rsid w:val="00AB21E1"/>
    <w:rsid w:val="00AB73EA"/>
    <w:rsid w:val="00AC3ADB"/>
    <w:rsid w:val="00AC630B"/>
    <w:rsid w:val="00AC7BA9"/>
    <w:rsid w:val="00AD5FD9"/>
    <w:rsid w:val="00AD7DC9"/>
    <w:rsid w:val="00AE4AA2"/>
    <w:rsid w:val="00AE5B5A"/>
    <w:rsid w:val="00B02DEE"/>
    <w:rsid w:val="00B0319E"/>
    <w:rsid w:val="00B0425E"/>
    <w:rsid w:val="00B06828"/>
    <w:rsid w:val="00B070BD"/>
    <w:rsid w:val="00B113D1"/>
    <w:rsid w:val="00B13236"/>
    <w:rsid w:val="00B13D19"/>
    <w:rsid w:val="00B20A5A"/>
    <w:rsid w:val="00B30E75"/>
    <w:rsid w:val="00B3433D"/>
    <w:rsid w:val="00B4371E"/>
    <w:rsid w:val="00B53AB6"/>
    <w:rsid w:val="00B575E4"/>
    <w:rsid w:val="00B620FB"/>
    <w:rsid w:val="00B74F3F"/>
    <w:rsid w:val="00B818CE"/>
    <w:rsid w:val="00B83E20"/>
    <w:rsid w:val="00B92AA6"/>
    <w:rsid w:val="00B9498A"/>
    <w:rsid w:val="00BA0952"/>
    <w:rsid w:val="00BA235A"/>
    <w:rsid w:val="00BB0BA8"/>
    <w:rsid w:val="00BC4B71"/>
    <w:rsid w:val="00BD11F2"/>
    <w:rsid w:val="00BD18C1"/>
    <w:rsid w:val="00BD684A"/>
    <w:rsid w:val="00BE1C78"/>
    <w:rsid w:val="00BE5C84"/>
    <w:rsid w:val="00BF48E4"/>
    <w:rsid w:val="00BF6C06"/>
    <w:rsid w:val="00BF7067"/>
    <w:rsid w:val="00C05B1C"/>
    <w:rsid w:val="00C0739E"/>
    <w:rsid w:val="00C13C94"/>
    <w:rsid w:val="00C171C8"/>
    <w:rsid w:val="00C32DAE"/>
    <w:rsid w:val="00C355B4"/>
    <w:rsid w:val="00C40E24"/>
    <w:rsid w:val="00C45C16"/>
    <w:rsid w:val="00C515F0"/>
    <w:rsid w:val="00C71A4F"/>
    <w:rsid w:val="00C82CEC"/>
    <w:rsid w:val="00C83D7A"/>
    <w:rsid w:val="00C8591B"/>
    <w:rsid w:val="00C86F02"/>
    <w:rsid w:val="00C90B7D"/>
    <w:rsid w:val="00C90C28"/>
    <w:rsid w:val="00C95F48"/>
    <w:rsid w:val="00C96EF5"/>
    <w:rsid w:val="00CC530A"/>
    <w:rsid w:val="00CE57B8"/>
    <w:rsid w:val="00D0503C"/>
    <w:rsid w:val="00D07AB8"/>
    <w:rsid w:val="00D10281"/>
    <w:rsid w:val="00D1109B"/>
    <w:rsid w:val="00D14B6D"/>
    <w:rsid w:val="00D21F07"/>
    <w:rsid w:val="00D25FB3"/>
    <w:rsid w:val="00D32B51"/>
    <w:rsid w:val="00D34145"/>
    <w:rsid w:val="00D34668"/>
    <w:rsid w:val="00D3740E"/>
    <w:rsid w:val="00D54D08"/>
    <w:rsid w:val="00D56677"/>
    <w:rsid w:val="00D61967"/>
    <w:rsid w:val="00D6453B"/>
    <w:rsid w:val="00D67254"/>
    <w:rsid w:val="00D73213"/>
    <w:rsid w:val="00D73B21"/>
    <w:rsid w:val="00D756D6"/>
    <w:rsid w:val="00D82F57"/>
    <w:rsid w:val="00D83D78"/>
    <w:rsid w:val="00D840CC"/>
    <w:rsid w:val="00D841A5"/>
    <w:rsid w:val="00D86C4D"/>
    <w:rsid w:val="00D87A2E"/>
    <w:rsid w:val="00D914D2"/>
    <w:rsid w:val="00D92D19"/>
    <w:rsid w:val="00DA0EED"/>
    <w:rsid w:val="00DA25DB"/>
    <w:rsid w:val="00DB2D34"/>
    <w:rsid w:val="00DB39E5"/>
    <w:rsid w:val="00DB59A7"/>
    <w:rsid w:val="00DB6DAD"/>
    <w:rsid w:val="00DC698C"/>
    <w:rsid w:val="00DD175D"/>
    <w:rsid w:val="00DD4251"/>
    <w:rsid w:val="00DE7EC3"/>
    <w:rsid w:val="00DF2EB3"/>
    <w:rsid w:val="00DF2F23"/>
    <w:rsid w:val="00DF35D1"/>
    <w:rsid w:val="00DF390D"/>
    <w:rsid w:val="00DF48BB"/>
    <w:rsid w:val="00E02B50"/>
    <w:rsid w:val="00E03F11"/>
    <w:rsid w:val="00E06955"/>
    <w:rsid w:val="00E06DC8"/>
    <w:rsid w:val="00E10E35"/>
    <w:rsid w:val="00E16873"/>
    <w:rsid w:val="00E220B5"/>
    <w:rsid w:val="00E3729A"/>
    <w:rsid w:val="00E634DE"/>
    <w:rsid w:val="00E66F12"/>
    <w:rsid w:val="00E83716"/>
    <w:rsid w:val="00E918DB"/>
    <w:rsid w:val="00E91E63"/>
    <w:rsid w:val="00EA47FF"/>
    <w:rsid w:val="00EA6242"/>
    <w:rsid w:val="00EB333C"/>
    <w:rsid w:val="00EB7879"/>
    <w:rsid w:val="00EC1818"/>
    <w:rsid w:val="00EC6BC7"/>
    <w:rsid w:val="00EC753F"/>
    <w:rsid w:val="00EC786D"/>
    <w:rsid w:val="00EE0325"/>
    <w:rsid w:val="00EE23CF"/>
    <w:rsid w:val="00EE51C7"/>
    <w:rsid w:val="00EE6972"/>
    <w:rsid w:val="00EF5642"/>
    <w:rsid w:val="00EF6FAC"/>
    <w:rsid w:val="00F00A98"/>
    <w:rsid w:val="00F12311"/>
    <w:rsid w:val="00F12D91"/>
    <w:rsid w:val="00F145B2"/>
    <w:rsid w:val="00F14611"/>
    <w:rsid w:val="00F14A5E"/>
    <w:rsid w:val="00F22944"/>
    <w:rsid w:val="00F36830"/>
    <w:rsid w:val="00F37855"/>
    <w:rsid w:val="00F37C8A"/>
    <w:rsid w:val="00F4213B"/>
    <w:rsid w:val="00F54577"/>
    <w:rsid w:val="00F60192"/>
    <w:rsid w:val="00F646AB"/>
    <w:rsid w:val="00F6534C"/>
    <w:rsid w:val="00F66DED"/>
    <w:rsid w:val="00F74EB8"/>
    <w:rsid w:val="00F77A0B"/>
    <w:rsid w:val="00F849ED"/>
    <w:rsid w:val="00F91567"/>
    <w:rsid w:val="00F92398"/>
    <w:rsid w:val="00F97277"/>
    <w:rsid w:val="00F97541"/>
    <w:rsid w:val="00FA0707"/>
    <w:rsid w:val="00FA7D7A"/>
    <w:rsid w:val="00FB42F2"/>
    <w:rsid w:val="00FC4E69"/>
    <w:rsid w:val="00FD157B"/>
    <w:rsid w:val="00FD22BE"/>
    <w:rsid w:val="00FD31A0"/>
    <w:rsid w:val="00FD5B08"/>
    <w:rsid w:val="00FE0A75"/>
    <w:rsid w:val="00FE1988"/>
    <w:rsid w:val="00FF0C74"/>
    <w:rsid w:val="00FF15E0"/>
    <w:rsid w:val="00FF1F6C"/>
    <w:rsid w:val="00FF2B96"/>
    <w:rsid w:val="00FF30F2"/>
    <w:rsid w:val="00FF4BB9"/>
    <w:rsid w:val="00FF6AAD"/>
    <w:rsid w:val="00FF71E5"/>
    <w:rsid w:val="0622C6B3"/>
    <w:rsid w:val="2A6B4DBA"/>
    <w:rsid w:val="2AE14251"/>
    <w:rsid w:val="33BCE01D"/>
    <w:rsid w:val="492FEF45"/>
    <w:rsid w:val="4A588554"/>
    <w:rsid w:val="5CBEBBF6"/>
    <w:rsid w:val="5EC99578"/>
    <w:rsid w:val="5FDC6489"/>
    <w:rsid w:val="78CD35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0BD69"/>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B6FD7"/>
    <w:pPr>
      <w:spacing w:before="0"/>
      <w:outlineLvl w:val="0"/>
    </w:pPr>
    <w:rPr>
      <w:b/>
    </w:rPr>
  </w:style>
  <w:style w:type="paragraph" w:styleId="Heading2">
    <w:name w:val="heading 2"/>
    <w:basedOn w:val="Normal"/>
    <w:next w:val="Normal"/>
    <w:qFormat/>
    <w:rsid w:val="001976BF"/>
    <w:pPr>
      <w:spacing w:before="480" w:after="240"/>
      <w:outlineLvl w:val="1"/>
    </w:pPr>
    <w:rPr>
      <w:rFonts w:ascii="Arial Black" w:hAnsi="Arial Black" w:cs="Arial"/>
      <w:bCs/>
      <w:sz w:val="32"/>
      <w:szCs w:val="32"/>
    </w:rPr>
  </w:style>
  <w:style w:type="paragraph" w:styleId="Heading3">
    <w:name w:val="heading 3"/>
    <w:basedOn w:val="Normal"/>
    <w:next w:val="Normal"/>
    <w:qFormat/>
    <w:rsid w:val="00FF4BB9"/>
    <w:pPr>
      <w:spacing w:before="480" w:after="240"/>
      <w:jc w:val="both"/>
      <w:outlineLvl w:val="2"/>
    </w:pPr>
    <w:rPr>
      <w:rFonts w:ascii="Arial Black" w:hAnsi="Arial Black" w:cs="Arial"/>
      <w:bCs/>
      <w:sz w:val="32"/>
      <w:szCs w:val="28"/>
    </w:rPr>
  </w:style>
  <w:style w:type="paragraph" w:styleId="Heading4">
    <w:name w:val="heading 4"/>
    <w:basedOn w:val="Normal"/>
    <w:next w:val="Normal"/>
    <w:qFormat/>
    <w:rsid w:val="00530D4A"/>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A50388"/>
    <w:pPr>
      <w:ind w:left="720"/>
    </w:pPr>
  </w:style>
  <w:style w:type="table" w:customStyle="1" w:styleId="Style1">
    <w:name w:val="Style1"/>
    <w:basedOn w:val="TableNormal"/>
    <w:uiPriority w:val="99"/>
    <w:rsid w:val="009B6FD7"/>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3772A0"/>
    <w:rPr>
      <w:color w:val="605E5C"/>
      <w:shd w:val="clear" w:color="auto" w:fill="E1DFDD"/>
    </w:rPr>
  </w:style>
  <w:style w:type="paragraph" w:customStyle="1" w:styleId="Default">
    <w:name w:val="Default"/>
    <w:rsid w:val="00B83E20"/>
    <w:pPr>
      <w:autoSpaceDE w:val="0"/>
      <w:autoSpaceDN w:val="0"/>
      <w:adjustRightInd w:val="0"/>
    </w:pPr>
    <w:rPr>
      <w:rFonts w:ascii="Arial" w:hAnsi="Arial" w:cs="Arial"/>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locked/>
    <w:rsid w:val="000050E6"/>
    <w:rPr>
      <w:rFonts w:ascii="Arial" w:hAnsi="Arial"/>
      <w:sz w:val="24"/>
      <w:lang w:eastAsia="en-US"/>
    </w:rPr>
  </w:style>
  <w:style w:type="character" w:styleId="CommentReference">
    <w:name w:val="annotation reference"/>
    <w:basedOn w:val="DefaultParagraphFont"/>
    <w:uiPriority w:val="99"/>
    <w:semiHidden/>
    <w:unhideWhenUsed/>
    <w:rsid w:val="000050E6"/>
    <w:rPr>
      <w:sz w:val="16"/>
      <w:szCs w:val="16"/>
    </w:rPr>
  </w:style>
  <w:style w:type="paragraph" w:styleId="CommentText">
    <w:name w:val="annotation text"/>
    <w:basedOn w:val="Normal"/>
    <w:link w:val="CommentTextChar"/>
    <w:uiPriority w:val="99"/>
    <w:unhideWhenUsed/>
    <w:rsid w:val="000050E6"/>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0050E6"/>
    <w:rPr>
      <w:rFonts w:asciiTheme="minorHAnsi" w:eastAsiaTheme="minorHAnsi" w:hAnsiTheme="minorHAnsi" w:cstheme="minorBidi"/>
      <w:lang w:eastAsia="en-US"/>
    </w:rPr>
  </w:style>
  <w:style w:type="paragraph" w:styleId="NormalWeb">
    <w:name w:val="Normal (Web)"/>
    <w:basedOn w:val="Normal"/>
    <w:uiPriority w:val="99"/>
    <w:semiHidden/>
    <w:unhideWhenUsed/>
    <w:rsid w:val="00B4371E"/>
    <w:pPr>
      <w:spacing w:before="100" w:beforeAutospacing="1" w:after="100" w:afterAutospacing="1"/>
    </w:pPr>
    <w:rPr>
      <w:rFonts w:ascii="Times New Roman" w:hAnsi="Times New Roman"/>
      <w:szCs w:val="24"/>
      <w:lang w:eastAsia="en-GB"/>
    </w:rPr>
  </w:style>
  <w:style w:type="paragraph" w:customStyle="1" w:styleId="Pa0">
    <w:name w:val="Pa0"/>
    <w:basedOn w:val="Default"/>
    <w:next w:val="Default"/>
    <w:uiPriority w:val="99"/>
    <w:rsid w:val="00A70FAB"/>
    <w:pPr>
      <w:spacing w:line="241" w:lineRule="atLeast"/>
    </w:pPr>
    <w:rPr>
      <w:rFonts w:ascii="Basic Sans Regular" w:hAnsi="Basic Sans Regular" w:cs="Times New Roman"/>
      <w:color w:val="auto"/>
    </w:rPr>
  </w:style>
  <w:style w:type="character" w:customStyle="1" w:styleId="A7">
    <w:name w:val="A7"/>
    <w:uiPriority w:val="99"/>
    <w:rsid w:val="00A70FAB"/>
    <w:rPr>
      <w:rFonts w:cs="Basic Sans 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860316">
      <w:bodyDiv w:val="1"/>
      <w:marLeft w:val="0"/>
      <w:marRight w:val="0"/>
      <w:marTop w:val="0"/>
      <w:marBottom w:val="0"/>
      <w:divBdr>
        <w:top w:val="none" w:sz="0" w:space="0" w:color="auto"/>
        <w:left w:val="none" w:sz="0" w:space="0" w:color="auto"/>
        <w:bottom w:val="none" w:sz="0" w:space="0" w:color="auto"/>
        <w:right w:val="none" w:sz="0" w:space="0" w:color="auto"/>
      </w:divBdr>
    </w:div>
    <w:div w:id="555354548">
      <w:bodyDiv w:val="1"/>
      <w:marLeft w:val="0"/>
      <w:marRight w:val="0"/>
      <w:marTop w:val="0"/>
      <w:marBottom w:val="0"/>
      <w:divBdr>
        <w:top w:val="none" w:sz="0" w:space="0" w:color="auto"/>
        <w:left w:val="none" w:sz="0" w:space="0" w:color="auto"/>
        <w:bottom w:val="none" w:sz="0" w:space="0" w:color="auto"/>
        <w:right w:val="none" w:sz="0" w:space="0" w:color="auto"/>
      </w:divBdr>
      <w:divsChild>
        <w:div w:id="2093888934">
          <w:marLeft w:val="547"/>
          <w:marRight w:val="0"/>
          <w:marTop w:val="120"/>
          <w:marBottom w:val="0"/>
          <w:divBdr>
            <w:top w:val="none" w:sz="0" w:space="0" w:color="auto"/>
            <w:left w:val="none" w:sz="0" w:space="0" w:color="auto"/>
            <w:bottom w:val="none" w:sz="0" w:space="0" w:color="auto"/>
            <w:right w:val="none" w:sz="0" w:space="0" w:color="auto"/>
          </w:divBdr>
        </w:div>
        <w:div w:id="976181564">
          <w:marLeft w:val="1166"/>
          <w:marRight w:val="0"/>
          <w:marTop w:val="96"/>
          <w:marBottom w:val="0"/>
          <w:divBdr>
            <w:top w:val="none" w:sz="0" w:space="0" w:color="auto"/>
            <w:left w:val="none" w:sz="0" w:space="0" w:color="auto"/>
            <w:bottom w:val="none" w:sz="0" w:space="0" w:color="auto"/>
            <w:right w:val="none" w:sz="0" w:space="0" w:color="auto"/>
          </w:divBdr>
        </w:div>
        <w:div w:id="1410810426">
          <w:marLeft w:val="1166"/>
          <w:marRight w:val="0"/>
          <w:marTop w:val="96"/>
          <w:marBottom w:val="0"/>
          <w:divBdr>
            <w:top w:val="none" w:sz="0" w:space="0" w:color="auto"/>
            <w:left w:val="none" w:sz="0" w:space="0" w:color="auto"/>
            <w:bottom w:val="none" w:sz="0" w:space="0" w:color="auto"/>
            <w:right w:val="none" w:sz="0" w:space="0" w:color="auto"/>
          </w:divBdr>
        </w:div>
        <w:div w:id="2034071484">
          <w:marLeft w:val="1166"/>
          <w:marRight w:val="0"/>
          <w:marTop w:val="96"/>
          <w:marBottom w:val="0"/>
          <w:divBdr>
            <w:top w:val="none" w:sz="0" w:space="0" w:color="auto"/>
            <w:left w:val="none" w:sz="0" w:space="0" w:color="auto"/>
            <w:bottom w:val="none" w:sz="0" w:space="0" w:color="auto"/>
            <w:right w:val="none" w:sz="0" w:space="0" w:color="auto"/>
          </w:divBdr>
        </w:div>
        <w:div w:id="1229457136">
          <w:marLeft w:val="1166"/>
          <w:marRight w:val="0"/>
          <w:marTop w:val="96"/>
          <w:marBottom w:val="0"/>
          <w:divBdr>
            <w:top w:val="none" w:sz="0" w:space="0" w:color="auto"/>
            <w:left w:val="none" w:sz="0" w:space="0" w:color="auto"/>
            <w:bottom w:val="none" w:sz="0" w:space="0" w:color="auto"/>
            <w:right w:val="none" w:sz="0" w:space="0" w:color="auto"/>
          </w:divBdr>
        </w:div>
      </w:divsChild>
    </w:div>
    <w:div w:id="1016691660">
      <w:bodyDiv w:val="1"/>
      <w:marLeft w:val="0"/>
      <w:marRight w:val="0"/>
      <w:marTop w:val="0"/>
      <w:marBottom w:val="0"/>
      <w:divBdr>
        <w:top w:val="none" w:sz="0" w:space="0" w:color="auto"/>
        <w:left w:val="none" w:sz="0" w:space="0" w:color="auto"/>
        <w:bottom w:val="none" w:sz="0" w:space="0" w:color="auto"/>
        <w:right w:val="none" w:sz="0" w:space="0" w:color="auto"/>
      </w:divBdr>
    </w:div>
    <w:div w:id="1320377535">
      <w:bodyDiv w:val="1"/>
      <w:marLeft w:val="0"/>
      <w:marRight w:val="0"/>
      <w:marTop w:val="0"/>
      <w:marBottom w:val="0"/>
      <w:divBdr>
        <w:top w:val="none" w:sz="0" w:space="0" w:color="auto"/>
        <w:left w:val="none" w:sz="0" w:space="0" w:color="auto"/>
        <w:bottom w:val="none" w:sz="0" w:space="0" w:color="auto"/>
        <w:right w:val="none" w:sz="0" w:space="0" w:color="auto"/>
      </w:divBdr>
      <w:divsChild>
        <w:div w:id="1697581551">
          <w:marLeft w:val="547"/>
          <w:marRight w:val="0"/>
          <w:marTop w:val="120"/>
          <w:marBottom w:val="0"/>
          <w:divBdr>
            <w:top w:val="none" w:sz="0" w:space="0" w:color="auto"/>
            <w:left w:val="none" w:sz="0" w:space="0" w:color="auto"/>
            <w:bottom w:val="none" w:sz="0" w:space="0" w:color="auto"/>
            <w:right w:val="none" w:sz="0" w:space="0" w:color="auto"/>
          </w:divBdr>
        </w:div>
        <w:div w:id="994919217">
          <w:marLeft w:val="1166"/>
          <w:marRight w:val="0"/>
          <w:marTop w:val="96"/>
          <w:marBottom w:val="0"/>
          <w:divBdr>
            <w:top w:val="none" w:sz="0" w:space="0" w:color="auto"/>
            <w:left w:val="none" w:sz="0" w:space="0" w:color="auto"/>
            <w:bottom w:val="none" w:sz="0" w:space="0" w:color="auto"/>
            <w:right w:val="none" w:sz="0" w:space="0" w:color="auto"/>
          </w:divBdr>
        </w:div>
        <w:div w:id="1275940296">
          <w:marLeft w:val="1166"/>
          <w:marRight w:val="0"/>
          <w:marTop w:val="96"/>
          <w:marBottom w:val="0"/>
          <w:divBdr>
            <w:top w:val="none" w:sz="0" w:space="0" w:color="auto"/>
            <w:left w:val="none" w:sz="0" w:space="0" w:color="auto"/>
            <w:bottom w:val="none" w:sz="0" w:space="0" w:color="auto"/>
            <w:right w:val="none" w:sz="0" w:space="0" w:color="auto"/>
          </w:divBdr>
        </w:div>
        <w:div w:id="1281034791">
          <w:marLeft w:val="1166"/>
          <w:marRight w:val="0"/>
          <w:marTop w:val="96"/>
          <w:marBottom w:val="0"/>
          <w:divBdr>
            <w:top w:val="none" w:sz="0" w:space="0" w:color="auto"/>
            <w:left w:val="none" w:sz="0" w:space="0" w:color="auto"/>
            <w:bottom w:val="none" w:sz="0" w:space="0" w:color="auto"/>
            <w:right w:val="none" w:sz="0" w:space="0" w:color="auto"/>
          </w:divBdr>
        </w:div>
        <w:div w:id="1308125267">
          <w:marLeft w:val="1166"/>
          <w:marRight w:val="0"/>
          <w:marTop w:val="96"/>
          <w:marBottom w:val="0"/>
          <w:divBdr>
            <w:top w:val="none" w:sz="0" w:space="0" w:color="auto"/>
            <w:left w:val="none" w:sz="0" w:space="0" w:color="auto"/>
            <w:bottom w:val="none" w:sz="0" w:space="0" w:color="auto"/>
            <w:right w:val="none" w:sz="0" w:space="0" w:color="auto"/>
          </w:divBdr>
        </w:div>
      </w:divsChild>
    </w:div>
    <w:div w:id="1400397522">
      <w:bodyDiv w:val="1"/>
      <w:marLeft w:val="0"/>
      <w:marRight w:val="0"/>
      <w:marTop w:val="0"/>
      <w:marBottom w:val="0"/>
      <w:divBdr>
        <w:top w:val="none" w:sz="0" w:space="0" w:color="auto"/>
        <w:left w:val="none" w:sz="0" w:space="0" w:color="auto"/>
        <w:bottom w:val="none" w:sz="0" w:space="0" w:color="auto"/>
        <w:right w:val="none" w:sz="0" w:space="0" w:color="auto"/>
      </w:divBdr>
      <w:divsChild>
        <w:div w:id="516239918">
          <w:marLeft w:val="547"/>
          <w:marRight w:val="0"/>
          <w:marTop w:val="0"/>
          <w:marBottom w:val="0"/>
          <w:divBdr>
            <w:top w:val="none" w:sz="0" w:space="0" w:color="auto"/>
            <w:left w:val="none" w:sz="0" w:space="0" w:color="auto"/>
            <w:bottom w:val="none" w:sz="0" w:space="0" w:color="auto"/>
            <w:right w:val="none" w:sz="0" w:space="0" w:color="auto"/>
          </w:divBdr>
        </w:div>
        <w:div w:id="344138044">
          <w:marLeft w:val="1166"/>
          <w:marRight w:val="0"/>
          <w:marTop w:val="0"/>
          <w:marBottom w:val="0"/>
          <w:divBdr>
            <w:top w:val="none" w:sz="0" w:space="0" w:color="auto"/>
            <w:left w:val="none" w:sz="0" w:space="0" w:color="auto"/>
            <w:bottom w:val="none" w:sz="0" w:space="0" w:color="auto"/>
            <w:right w:val="none" w:sz="0" w:space="0" w:color="auto"/>
          </w:divBdr>
        </w:div>
        <w:div w:id="809175958">
          <w:marLeft w:val="1166"/>
          <w:marRight w:val="0"/>
          <w:marTop w:val="0"/>
          <w:marBottom w:val="0"/>
          <w:divBdr>
            <w:top w:val="none" w:sz="0" w:space="0" w:color="auto"/>
            <w:left w:val="none" w:sz="0" w:space="0" w:color="auto"/>
            <w:bottom w:val="none" w:sz="0" w:space="0" w:color="auto"/>
            <w:right w:val="none" w:sz="0" w:space="0" w:color="auto"/>
          </w:divBdr>
        </w:div>
        <w:div w:id="1742295066">
          <w:marLeft w:val="1166"/>
          <w:marRight w:val="0"/>
          <w:marTop w:val="0"/>
          <w:marBottom w:val="0"/>
          <w:divBdr>
            <w:top w:val="none" w:sz="0" w:space="0" w:color="auto"/>
            <w:left w:val="none" w:sz="0" w:space="0" w:color="auto"/>
            <w:bottom w:val="none" w:sz="0" w:space="0" w:color="auto"/>
            <w:right w:val="none" w:sz="0" w:space="0" w:color="auto"/>
          </w:divBdr>
        </w:div>
        <w:div w:id="2042706598">
          <w:marLeft w:val="547"/>
          <w:marRight w:val="0"/>
          <w:marTop w:val="0"/>
          <w:marBottom w:val="0"/>
          <w:divBdr>
            <w:top w:val="none" w:sz="0" w:space="0" w:color="auto"/>
            <w:left w:val="none" w:sz="0" w:space="0" w:color="auto"/>
            <w:bottom w:val="none" w:sz="0" w:space="0" w:color="auto"/>
            <w:right w:val="none" w:sz="0" w:space="0" w:color="auto"/>
          </w:divBdr>
        </w:div>
        <w:div w:id="37359739">
          <w:marLeft w:val="1166"/>
          <w:marRight w:val="0"/>
          <w:marTop w:val="0"/>
          <w:marBottom w:val="0"/>
          <w:divBdr>
            <w:top w:val="none" w:sz="0" w:space="0" w:color="auto"/>
            <w:left w:val="none" w:sz="0" w:space="0" w:color="auto"/>
            <w:bottom w:val="none" w:sz="0" w:space="0" w:color="auto"/>
            <w:right w:val="none" w:sz="0" w:space="0" w:color="auto"/>
          </w:divBdr>
        </w:div>
        <w:div w:id="1195581477">
          <w:marLeft w:val="1166"/>
          <w:marRight w:val="0"/>
          <w:marTop w:val="0"/>
          <w:marBottom w:val="0"/>
          <w:divBdr>
            <w:top w:val="none" w:sz="0" w:space="0" w:color="auto"/>
            <w:left w:val="none" w:sz="0" w:space="0" w:color="auto"/>
            <w:bottom w:val="none" w:sz="0" w:space="0" w:color="auto"/>
            <w:right w:val="none" w:sz="0" w:space="0" w:color="auto"/>
          </w:divBdr>
        </w:div>
        <w:div w:id="1559122758">
          <w:marLeft w:val="1166"/>
          <w:marRight w:val="0"/>
          <w:marTop w:val="0"/>
          <w:marBottom w:val="0"/>
          <w:divBdr>
            <w:top w:val="none" w:sz="0" w:space="0" w:color="auto"/>
            <w:left w:val="none" w:sz="0" w:space="0" w:color="auto"/>
            <w:bottom w:val="none" w:sz="0" w:space="0" w:color="auto"/>
            <w:right w:val="none" w:sz="0" w:space="0" w:color="auto"/>
          </w:divBdr>
        </w:div>
        <w:div w:id="468589974">
          <w:marLeft w:val="1166"/>
          <w:marRight w:val="0"/>
          <w:marTop w:val="0"/>
          <w:marBottom w:val="0"/>
          <w:divBdr>
            <w:top w:val="none" w:sz="0" w:space="0" w:color="auto"/>
            <w:left w:val="none" w:sz="0" w:space="0" w:color="auto"/>
            <w:bottom w:val="none" w:sz="0" w:space="0" w:color="auto"/>
            <w:right w:val="none" w:sz="0" w:space="0" w:color="auto"/>
          </w:divBdr>
        </w:div>
        <w:div w:id="1651130177">
          <w:marLeft w:val="1166"/>
          <w:marRight w:val="0"/>
          <w:marTop w:val="0"/>
          <w:marBottom w:val="0"/>
          <w:divBdr>
            <w:top w:val="none" w:sz="0" w:space="0" w:color="auto"/>
            <w:left w:val="none" w:sz="0" w:space="0" w:color="auto"/>
            <w:bottom w:val="none" w:sz="0" w:space="0" w:color="auto"/>
            <w:right w:val="none" w:sz="0" w:space="0" w:color="auto"/>
          </w:divBdr>
        </w:div>
        <w:div w:id="2089688520">
          <w:marLeft w:val="1166"/>
          <w:marRight w:val="0"/>
          <w:marTop w:val="0"/>
          <w:marBottom w:val="0"/>
          <w:divBdr>
            <w:top w:val="none" w:sz="0" w:space="0" w:color="auto"/>
            <w:left w:val="none" w:sz="0" w:space="0" w:color="auto"/>
            <w:bottom w:val="none" w:sz="0" w:space="0" w:color="auto"/>
            <w:right w:val="none" w:sz="0" w:space="0" w:color="auto"/>
          </w:divBdr>
        </w:div>
        <w:div w:id="1005061547">
          <w:marLeft w:val="547"/>
          <w:marRight w:val="0"/>
          <w:marTop w:val="0"/>
          <w:marBottom w:val="0"/>
          <w:divBdr>
            <w:top w:val="none" w:sz="0" w:space="0" w:color="auto"/>
            <w:left w:val="none" w:sz="0" w:space="0" w:color="auto"/>
            <w:bottom w:val="none" w:sz="0" w:space="0" w:color="auto"/>
            <w:right w:val="none" w:sz="0" w:space="0" w:color="auto"/>
          </w:divBdr>
        </w:div>
        <w:div w:id="1961570660">
          <w:marLeft w:val="1166"/>
          <w:marRight w:val="0"/>
          <w:marTop w:val="0"/>
          <w:marBottom w:val="0"/>
          <w:divBdr>
            <w:top w:val="none" w:sz="0" w:space="0" w:color="auto"/>
            <w:left w:val="none" w:sz="0" w:space="0" w:color="auto"/>
            <w:bottom w:val="none" w:sz="0" w:space="0" w:color="auto"/>
            <w:right w:val="none" w:sz="0" w:space="0" w:color="auto"/>
          </w:divBdr>
        </w:div>
        <w:div w:id="1852180142">
          <w:marLeft w:val="1166"/>
          <w:marRight w:val="0"/>
          <w:marTop w:val="0"/>
          <w:marBottom w:val="0"/>
          <w:divBdr>
            <w:top w:val="none" w:sz="0" w:space="0" w:color="auto"/>
            <w:left w:val="none" w:sz="0" w:space="0" w:color="auto"/>
            <w:bottom w:val="none" w:sz="0" w:space="0" w:color="auto"/>
            <w:right w:val="none" w:sz="0" w:space="0" w:color="auto"/>
          </w:divBdr>
        </w:div>
        <w:div w:id="1257055262">
          <w:marLeft w:val="1166"/>
          <w:marRight w:val="0"/>
          <w:marTop w:val="0"/>
          <w:marBottom w:val="0"/>
          <w:divBdr>
            <w:top w:val="none" w:sz="0" w:space="0" w:color="auto"/>
            <w:left w:val="none" w:sz="0" w:space="0" w:color="auto"/>
            <w:bottom w:val="none" w:sz="0" w:space="0" w:color="auto"/>
            <w:right w:val="none" w:sz="0" w:space="0" w:color="auto"/>
          </w:divBdr>
        </w:div>
        <w:div w:id="907764661">
          <w:marLeft w:val="1166"/>
          <w:marRight w:val="0"/>
          <w:marTop w:val="0"/>
          <w:marBottom w:val="0"/>
          <w:divBdr>
            <w:top w:val="none" w:sz="0" w:space="0" w:color="auto"/>
            <w:left w:val="none" w:sz="0" w:space="0" w:color="auto"/>
            <w:bottom w:val="none" w:sz="0" w:space="0" w:color="auto"/>
            <w:right w:val="none" w:sz="0" w:space="0" w:color="auto"/>
          </w:divBdr>
        </w:div>
        <w:div w:id="1431779437">
          <w:marLeft w:val="1166"/>
          <w:marRight w:val="0"/>
          <w:marTop w:val="0"/>
          <w:marBottom w:val="0"/>
          <w:divBdr>
            <w:top w:val="none" w:sz="0" w:space="0" w:color="auto"/>
            <w:left w:val="none" w:sz="0" w:space="0" w:color="auto"/>
            <w:bottom w:val="none" w:sz="0" w:space="0" w:color="auto"/>
            <w:right w:val="none" w:sz="0" w:space="0" w:color="auto"/>
          </w:divBdr>
        </w:div>
      </w:divsChild>
    </w:div>
    <w:div w:id="194696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bastien.baugh@harrow.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arrowProtectiveMarking xmlns="742a9127-86c4-47a5-a03a-be68eb6e8edf">OFFICIAL</HarrowProtectiveMarking>
    <TaxCatchAll xmlns="742a9127-86c4-47a5-a03a-be68eb6e8edf" xsi:nil="true"/>
    <TaxKeywordTaxHTField xmlns="742a9127-86c4-47a5-a03a-be68eb6e8edf">
      <Terms xmlns="http://schemas.microsoft.com/office/infopath/2007/PartnerControls"/>
    </TaxKeywordTaxHTField>
    <HarrowDescription xmlns="742a9127-86c4-47a5-a03a-be68eb6e8ed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Harrow Document" ma:contentTypeID="0x0101005ABA99F05B1D5B4ABFBC88736A696FA300BB0A65586DA9C848AF14C1012E1F69CB" ma:contentTypeVersion="44" ma:contentTypeDescription="A basic document." ma:contentTypeScope="" ma:versionID="39963470e65a5a0086e9f86d86166b8b">
  <xsd:schema xmlns:xsd="http://www.w3.org/2001/XMLSchema" xmlns:xs="http://www.w3.org/2001/XMLSchema" xmlns:p="http://schemas.microsoft.com/office/2006/metadata/properties" xmlns:ns2="742a9127-86c4-47a5-a03a-be68eb6e8edf" targetNamespace="http://schemas.microsoft.com/office/2006/metadata/properties" ma:root="true" ma:fieldsID="077ef2d5b11009a40b4929ce8b0f946b" ns2:_="">
    <xsd:import namespace="742a9127-86c4-47a5-a03a-be68eb6e8edf"/>
    <xsd:element name="properties">
      <xsd:complexType>
        <xsd:sequence>
          <xsd:element name="documentManagement">
            <xsd:complexType>
              <xsd:all>
                <xsd:element ref="ns2:HarrowDescription" minOccurs="0"/>
                <xsd:element ref="ns2:HarrowProtectiveMarking"/>
                <xsd:element ref="ns2:TaxCatchAll" minOccurs="0"/>
                <xsd:element ref="ns2:TaxCatchAllLabel" minOccurs="0"/>
                <xsd:element ref="ns2:TaxKeywordTaxHTFiel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a9127-86c4-47a5-a03a-be68eb6e8edf"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CatchAll" ma:index="10" nillable="true" ma:displayName="Taxonomy Catch All Column" ma:hidden="true" ma:list="{a81b67ba-502c-44fd-8897-b3695b3e2212}" ma:internalName="TaxCatchAll" ma:readOnly="false" ma:showField="CatchAllData" ma:web="742a9127-86c4-47a5-a03a-be68eb6e8ed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81b67ba-502c-44fd-8897-b3695b3e2212}" ma:internalName="TaxCatchAllLabel" ma:readOnly="true" ma:showField="CatchAllDataLabel" ma:web="742a9127-86c4-47a5-a03a-be68eb6e8edf">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4dabcf8-0b7b-4cfe-b513-404981d01833"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F82CF-5F35-45BA-8890-1345BDD469A7}">
  <ds:schemaRefs>
    <ds:schemaRef ds:uri="http://schemas.microsoft.com/sharepoint/v3/contenttype/forms"/>
  </ds:schemaRefs>
</ds:datastoreItem>
</file>

<file path=customXml/itemProps2.xml><?xml version="1.0" encoding="utf-8"?>
<ds:datastoreItem xmlns:ds="http://schemas.openxmlformats.org/officeDocument/2006/customXml" ds:itemID="{63E6C291-BB2F-4D2E-B364-53B018CFEBC3}">
  <ds:schemaRefs>
    <ds:schemaRef ds:uri="http://schemas.openxmlformats.org/officeDocument/2006/bibliography"/>
  </ds:schemaRefs>
</ds:datastoreItem>
</file>

<file path=customXml/itemProps3.xml><?xml version="1.0" encoding="utf-8"?>
<ds:datastoreItem xmlns:ds="http://schemas.openxmlformats.org/officeDocument/2006/customXml" ds:itemID="{84F5A1C8-0C33-40F3-BB38-26F53BC9DFDB}">
  <ds:schemaRefs>
    <ds:schemaRef ds:uri="http://schemas.microsoft.com/office/2006/metadata/properties"/>
    <ds:schemaRef ds:uri="http://schemas.microsoft.com/office/infopath/2007/PartnerControls"/>
    <ds:schemaRef ds:uri="742a9127-86c4-47a5-a03a-be68eb6e8edf"/>
  </ds:schemaRefs>
</ds:datastoreItem>
</file>

<file path=customXml/itemProps4.xml><?xml version="1.0" encoding="utf-8"?>
<ds:datastoreItem xmlns:ds="http://schemas.openxmlformats.org/officeDocument/2006/customXml" ds:itemID="{C45906DC-43F6-4A99-AE54-DA61B48E9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a9127-86c4-47a5-a03a-be68eb6e8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1055</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138</cp:revision>
  <cp:lastPrinted>2007-07-12T09:53:00Z</cp:lastPrinted>
  <dcterms:created xsi:type="dcterms:W3CDTF">2023-02-21T17:40:00Z</dcterms:created>
  <dcterms:modified xsi:type="dcterms:W3CDTF">2023-06-09T12:05:00Z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0x0101005ABA99F05B1D5B4ABFBC88736A696FA300BB0A65586DA9C848AF14C1012E1F69CB</vt:lpwstr>
  </property>
  <property fmtid="{D5CDD505-2E9C-101B-9397-08002B2CF9AE}" pid="3" name="TaxKeyword">
    <vt:lpwstr/>
  </property>
</Properties>
</file>